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517357">
      <w:pPr>
        <w:overflowPunct w:val="0"/>
        <w:autoSpaceDE w:val="0"/>
        <w:autoSpaceDN w:val="0"/>
        <w:adjustRightInd w:val="0"/>
        <w:spacing w:line="360" w:lineRule="auto"/>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rPr>
        <w:t>2</w:t>
      </w:r>
      <w:r>
        <w:rPr>
          <w:rFonts w:hint="eastAsia" w:ascii="Arial" w:hAnsi="Arial" w:eastAsia="宋体" w:cs="Arial"/>
          <w:b/>
          <w:kern w:val="0"/>
          <w:sz w:val="24"/>
          <w:szCs w:val="24"/>
          <w:lang w:val="en-US" w:eastAsia="zh-CN"/>
        </w:rPr>
        <w:t>7bis</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rPr>
        <w:t xml:space="preserve">    </w:t>
      </w:r>
      <w:r>
        <w:rPr>
          <w:rFonts w:ascii="Arial" w:hAnsi="Arial" w:eastAsia="MS Mincho" w:cs="Arial"/>
          <w:b/>
          <w:kern w:val="0"/>
          <w:sz w:val="24"/>
          <w:szCs w:val="24"/>
          <w:lang w:val="en-GB" w:eastAsia="en-GB"/>
        </w:rPr>
        <w:t xml:space="preserve"> </w:t>
      </w:r>
      <w:r>
        <w:rPr>
          <w:rFonts w:ascii="Arial" w:hAnsi="Arial" w:eastAsia="MS Mincho" w:cs="Arial"/>
          <w:b/>
          <w:kern w:val="0"/>
          <w:sz w:val="22"/>
          <w:lang w:val="en-GB" w:eastAsia="en-GB"/>
        </w:rPr>
        <w:t>R2-2</w:t>
      </w:r>
      <w:r>
        <w:rPr>
          <w:rFonts w:hint="eastAsia" w:ascii="Arial" w:hAnsi="Arial" w:eastAsia="宋体" w:cs="Arial"/>
          <w:b/>
          <w:kern w:val="0"/>
          <w:sz w:val="22"/>
        </w:rPr>
        <w:t>4</w:t>
      </w:r>
      <w:r>
        <w:rPr>
          <w:rFonts w:hint="eastAsia" w:ascii="Arial" w:hAnsi="Arial" w:eastAsia="宋体" w:cs="Arial"/>
          <w:b/>
          <w:kern w:val="0"/>
          <w:sz w:val="22"/>
          <w:lang w:val="en-US" w:eastAsia="zh-CN"/>
        </w:rPr>
        <w:t>08077</w:t>
      </w:r>
    </w:p>
    <w:p w14:paraId="50E4BCD2">
      <w:pPr>
        <w:overflowPunct w:val="0"/>
        <w:autoSpaceDE w:val="0"/>
        <w:autoSpaceDN w:val="0"/>
        <w:adjustRightInd w:val="0"/>
        <w:spacing w:line="360" w:lineRule="auto"/>
        <w:jc w:val="left"/>
        <w:textAlignment w:val="baseline"/>
        <w:rPr>
          <w:rFonts w:ascii="Arial" w:hAnsi="Arial" w:eastAsia="宋体" w:cs="Arial"/>
          <w:b/>
          <w:bCs/>
          <w:kern w:val="0"/>
          <w:sz w:val="24"/>
          <w:szCs w:val="24"/>
          <w:lang w:val="en-GB"/>
        </w:rPr>
      </w:pPr>
      <w:r>
        <w:rPr>
          <w:rFonts w:hint="eastAsia" w:ascii="Arial" w:hAnsi="Arial" w:eastAsia="宋体" w:cs="Arial"/>
          <w:b/>
          <w:bCs/>
          <w:kern w:val="0"/>
          <w:sz w:val="24"/>
          <w:szCs w:val="24"/>
          <w:lang w:val="en-US" w:eastAsia="zh-CN"/>
        </w:rPr>
        <w:t>Hefei</w:t>
      </w:r>
      <w:r>
        <w:rPr>
          <w:rFonts w:hint="eastAsia" w:ascii="Arial" w:hAnsi="Arial" w:eastAsia="宋体" w:cs="Arial"/>
          <w:b/>
          <w:bCs/>
          <w:kern w:val="0"/>
          <w:sz w:val="24"/>
          <w:szCs w:val="24"/>
        </w:rPr>
        <w:t xml:space="preserve">, </w:t>
      </w:r>
      <w:r>
        <w:rPr>
          <w:rFonts w:hint="eastAsia" w:ascii="Arial" w:hAnsi="Arial" w:eastAsia="宋体" w:cs="Arial"/>
          <w:b/>
          <w:bCs/>
          <w:kern w:val="0"/>
          <w:sz w:val="24"/>
          <w:szCs w:val="24"/>
          <w:lang w:val="en-US" w:eastAsia="zh-CN"/>
        </w:rPr>
        <w:t>China,</w:t>
      </w:r>
      <w:r>
        <w:rPr>
          <w:rFonts w:hint="eastAsia" w:ascii="Arial" w:hAnsi="Arial" w:eastAsia="宋体" w:cs="Arial"/>
          <w:b/>
          <w:bCs/>
          <w:kern w:val="0"/>
          <w:sz w:val="24"/>
          <w:szCs w:val="24"/>
        </w:rPr>
        <w:t xml:space="preserve"> </w:t>
      </w:r>
      <w:r>
        <w:rPr>
          <w:rFonts w:hint="eastAsia" w:ascii="Arial" w:hAnsi="Arial" w:eastAsia="宋体" w:cs="Arial"/>
          <w:b/>
          <w:bCs/>
          <w:kern w:val="0"/>
          <w:sz w:val="24"/>
          <w:szCs w:val="24"/>
          <w:lang w:val="en-US" w:eastAsia="zh-CN"/>
        </w:rPr>
        <w:t>October</w:t>
      </w:r>
      <w:r>
        <w:rPr>
          <w:rFonts w:hint="eastAsia" w:ascii="Arial" w:hAnsi="Arial" w:eastAsia="宋体" w:cs="Arial"/>
          <w:b/>
          <w:bCs/>
          <w:kern w:val="0"/>
          <w:sz w:val="24"/>
          <w:szCs w:val="24"/>
        </w:rPr>
        <w:t xml:space="preserve"> </w:t>
      </w:r>
      <w:r>
        <w:rPr>
          <w:rFonts w:hint="eastAsia" w:ascii="Arial" w:hAnsi="Arial" w:eastAsia="宋体" w:cs="Arial"/>
          <w:b/>
          <w:bCs/>
          <w:kern w:val="0"/>
          <w:sz w:val="24"/>
          <w:szCs w:val="24"/>
          <w:lang w:val="en-US" w:eastAsia="zh-CN"/>
        </w:rPr>
        <w:t>14</w:t>
      </w:r>
      <w:r>
        <w:rPr>
          <w:rFonts w:hint="eastAsia" w:ascii="Arial" w:hAnsi="Arial" w:eastAsia="宋体" w:cs="Arial"/>
          <w:b/>
          <w:bCs/>
          <w:kern w:val="0"/>
          <w:sz w:val="24"/>
          <w:szCs w:val="24"/>
          <w:vertAlign w:val="superscript"/>
          <w:lang w:val="en-US" w:eastAsia="zh-CN"/>
        </w:rPr>
        <w:t>th</w:t>
      </w:r>
      <w:r>
        <w:rPr>
          <w:rFonts w:hint="eastAsia" w:ascii="Arial" w:hAnsi="Arial" w:eastAsia="宋体" w:cs="Arial"/>
          <w:b/>
          <w:bCs/>
          <w:kern w:val="0"/>
          <w:sz w:val="24"/>
          <w:szCs w:val="24"/>
        </w:rPr>
        <w:t>-</w:t>
      </w:r>
      <w:r>
        <w:rPr>
          <w:rFonts w:hint="eastAsia" w:ascii="Arial" w:hAnsi="Arial" w:eastAsia="宋体" w:cs="Arial"/>
          <w:b/>
          <w:bCs/>
          <w:kern w:val="0"/>
          <w:sz w:val="24"/>
          <w:szCs w:val="24"/>
          <w:lang w:val="en-US" w:eastAsia="zh-CN"/>
        </w:rPr>
        <w:t>18</w:t>
      </w:r>
      <w:r>
        <w:rPr>
          <w:rFonts w:hint="eastAsia" w:ascii="Arial" w:hAnsi="Arial" w:eastAsia="宋体" w:cs="Arial"/>
          <w:b/>
          <w:bCs/>
          <w:kern w:val="0"/>
          <w:sz w:val="24"/>
          <w:szCs w:val="24"/>
          <w:vertAlign w:val="superscript"/>
          <w:lang w:val="en-US" w:eastAsia="zh-CN"/>
        </w:rPr>
        <w:t>th</w:t>
      </w:r>
      <w:r>
        <w:rPr>
          <w:rFonts w:ascii="Arial" w:hAnsi="Arial" w:eastAsia="宋体" w:cs="Arial"/>
          <w:b/>
          <w:bCs/>
          <w:kern w:val="0"/>
          <w:sz w:val="24"/>
          <w:szCs w:val="24"/>
          <w:lang w:val="en-GB"/>
        </w:rPr>
        <w:t>, 202</w:t>
      </w:r>
      <w:r>
        <w:rPr>
          <w:rFonts w:hint="eastAsia" w:ascii="Arial" w:hAnsi="Arial" w:eastAsia="宋体" w:cs="Arial"/>
          <w:b/>
          <w:bCs/>
          <w:kern w:val="0"/>
          <w:sz w:val="24"/>
          <w:szCs w:val="24"/>
        </w:rPr>
        <w:t>4</w:t>
      </w:r>
    </w:p>
    <w:p w14:paraId="2A90150E">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14:paraId="083F8DDE">
      <w:pPr>
        <w:widowControl/>
        <w:tabs>
          <w:tab w:val="left" w:pos="1985"/>
        </w:tabs>
        <w:spacing w:after="120"/>
        <w:jc w:val="left"/>
        <w:rPr>
          <w:rFonts w:hint="default" w:ascii="Arial" w:hAnsi="Arial" w:eastAsia="宋体" w:cs="Arial"/>
          <w:b/>
          <w:bCs/>
          <w:kern w:val="0"/>
          <w:sz w:val="24"/>
          <w:szCs w:val="20"/>
          <w:lang w:val="en-US"/>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8</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1.3</w:t>
      </w:r>
    </w:p>
    <w:p w14:paraId="5BD6B871">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14:paraId="1AD873E8">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US" w:eastAsia="zh-CN"/>
        </w:rPr>
        <w:t>NW side data collection</w:t>
      </w:r>
    </w:p>
    <w:p w14:paraId="6A96620B">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NR_AIML_air-Core</w:t>
      </w:r>
    </w:p>
    <w:p w14:paraId="2DCC0A67">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14:paraId="7C06AE45">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 xml:space="preserve"> </w:t>
      </w:r>
      <w:r>
        <w:rPr>
          <w:rFonts w:ascii="Arial" w:hAnsi="Arial" w:eastAsia="宋体" w:cs="Arial"/>
          <w:kern w:val="0"/>
          <w:sz w:val="36"/>
          <w:szCs w:val="20"/>
          <w:lang w:val="en-GB" w:eastAsia="en-US"/>
        </w:rPr>
        <w:t>Introduction</w:t>
      </w:r>
    </w:p>
    <w:p w14:paraId="3C8B454F">
      <w:pPr>
        <w:widowControl/>
        <w:spacing w:after="180"/>
        <w:rPr>
          <w:rFonts w:ascii="Arial" w:hAnsi="Arial" w:eastAsia="宋体" w:cs="Arial"/>
          <w:kern w:val="0"/>
          <w:sz w:val="20"/>
          <w:szCs w:val="20"/>
          <w:lang w:val="en-GB" w:eastAsia="en-US"/>
        </w:rPr>
      </w:pPr>
      <w:r>
        <w:rPr>
          <w:rFonts w:hint="eastAsia" w:ascii="Arial" w:hAnsi="Arial" w:cs="Arial"/>
          <w:sz w:val="20"/>
          <w:szCs w:val="20"/>
          <w:lang w:val="en-US" w:eastAsia="zh-CN"/>
        </w:rPr>
        <w:t>In last meeting [1], RAN2 discussed the NW side data collection and achieved the following agreements</w:t>
      </w:r>
      <w:r>
        <w:rPr>
          <w:rFonts w:hint="eastAsia" w:ascii="Arial" w:hAnsi="Arial" w:cs="Arial"/>
          <w:sz w:val="20"/>
          <w:szCs w:val="20"/>
        </w:rPr>
        <w:t>.</w:t>
      </w:r>
      <w:r>
        <w:rPr>
          <w:rFonts w:ascii="Arial" w:hAnsi="Arial" w:eastAsia="宋体" w:cs="Arial"/>
          <w:kern w:val="0"/>
          <w:sz w:val="20"/>
          <w:szCs w:val="20"/>
          <w:lang w:val="en-GB" w:eastAsia="en-US"/>
        </w:rPr>
        <w:t xml:space="preserve"> </w:t>
      </w:r>
    </w:p>
    <w:p w14:paraId="1808FD9A">
      <w:pPr>
        <w:pStyle w:val="26"/>
        <w:pBdr>
          <w:top w:val="single" w:color="auto" w:sz="4" w:space="1"/>
          <w:left w:val="single" w:color="auto" w:sz="4" w:space="4"/>
          <w:bottom w:val="single" w:color="auto" w:sz="4" w:space="1"/>
          <w:right w:val="single" w:color="auto" w:sz="4" w:space="4"/>
        </w:pBdr>
        <w:rPr>
          <w:rFonts w:hint="default" w:ascii="Arial" w:hAnsi="Arial" w:cs="Arial"/>
          <w:b/>
          <w:bCs/>
          <w:sz w:val="20"/>
          <w:szCs w:val="20"/>
          <w:lang w:val="en-US"/>
        </w:rPr>
      </w:pPr>
      <w:r>
        <w:rPr>
          <w:rFonts w:hint="default" w:ascii="Arial" w:hAnsi="Arial" w:cs="Arial"/>
          <w:b/>
          <w:bCs/>
          <w:sz w:val="20"/>
          <w:szCs w:val="20"/>
          <w:lang w:val="en-US"/>
        </w:rPr>
        <w:t>Agreements</w:t>
      </w:r>
    </w:p>
    <w:p w14:paraId="2BF5B9B7">
      <w:pPr>
        <w:pStyle w:val="26"/>
        <w:numPr>
          <w:ilvl w:val="0"/>
          <w:numId w:val="6"/>
        </w:numPr>
        <w:pBdr>
          <w:top w:val="single" w:color="auto" w:sz="4" w:space="1"/>
          <w:left w:val="single" w:color="auto" w:sz="4" w:space="4"/>
          <w:bottom w:val="single" w:color="auto" w:sz="4" w:space="1"/>
          <w:right w:val="single" w:color="auto" w:sz="4" w:space="4"/>
        </w:pBdr>
        <w:rPr>
          <w:rFonts w:hint="default" w:ascii="Arial" w:hAnsi="Arial" w:cs="Arial"/>
          <w:sz w:val="20"/>
          <w:szCs w:val="20"/>
          <w:lang w:val="en-US"/>
        </w:rPr>
      </w:pPr>
      <w:r>
        <w:rPr>
          <w:rFonts w:hint="default" w:ascii="Arial" w:hAnsi="Arial" w:cs="Arial"/>
          <w:sz w:val="20"/>
          <w:szCs w:val="20"/>
          <w:lang w:val="en-US"/>
        </w:rPr>
        <w:t xml:space="preserve">As the baseline approach, the UE receives the measurement configuration for AI/ML-enabled features/FGs for data collection and logging of measurements.  The network can explicitly configure the UE whether the corresponding data collection and logging (if supported) should be immediately started.  FFS if multiple configurations can be provided to the UE.  FFS if dynamic activation/deactivation is support. </w:t>
      </w:r>
    </w:p>
    <w:p w14:paraId="0CE260E0">
      <w:pPr>
        <w:pStyle w:val="26"/>
        <w:numPr>
          <w:ilvl w:val="0"/>
          <w:numId w:val="6"/>
        </w:numPr>
        <w:pBdr>
          <w:top w:val="single" w:color="auto" w:sz="4" w:space="1"/>
          <w:left w:val="single" w:color="auto" w:sz="4" w:space="4"/>
          <w:bottom w:val="single" w:color="auto" w:sz="4" w:space="1"/>
          <w:right w:val="single" w:color="auto" w:sz="4" w:space="4"/>
        </w:pBdr>
        <w:rPr>
          <w:rFonts w:hint="default" w:ascii="Arial" w:hAnsi="Arial" w:cs="Arial"/>
          <w:sz w:val="20"/>
          <w:szCs w:val="20"/>
          <w:lang w:val="en-US"/>
        </w:rPr>
      </w:pPr>
      <w:r>
        <w:rPr>
          <w:rFonts w:hint="default" w:ascii="Arial" w:hAnsi="Arial" w:cs="Arial"/>
          <w:sz w:val="20"/>
          <w:szCs w:val="20"/>
          <w:lang w:val="en-US"/>
        </w:rPr>
        <w:t>UE stores the logged training data at AS layer with a minimum AS layer memory size supported by the UE. FFS on the memory size.  This is across all use cases</w:t>
      </w:r>
    </w:p>
    <w:p w14:paraId="63AB181C">
      <w:pPr>
        <w:pStyle w:val="26"/>
        <w:numPr>
          <w:ilvl w:val="0"/>
          <w:numId w:val="6"/>
        </w:numPr>
        <w:pBdr>
          <w:top w:val="single" w:color="auto" w:sz="4" w:space="1"/>
          <w:left w:val="single" w:color="auto" w:sz="4" w:space="4"/>
          <w:bottom w:val="single" w:color="auto" w:sz="4" w:space="1"/>
          <w:right w:val="single" w:color="auto" w:sz="4" w:space="4"/>
        </w:pBdr>
        <w:rPr>
          <w:rFonts w:hint="default" w:ascii="Arial" w:hAnsi="Arial" w:cs="Arial"/>
          <w:sz w:val="20"/>
          <w:szCs w:val="20"/>
          <w:lang w:val="en-US"/>
        </w:rPr>
      </w:pPr>
      <w:r>
        <w:rPr>
          <w:rFonts w:hint="default" w:ascii="Arial" w:hAnsi="Arial" w:cs="Arial"/>
          <w:sz w:val="20"/>
          <w:szCs w:val="20"/>
          <w:lang w:val="en-US"/>
        </w:rPr>
        <w:t xml:space="preserve">When UE reaches its buffer limitation the UE stops measurement for data collection purposes and logging.   </w:t>
      </w:r>
    </w:p>
    <w:p w14:paraId="35C8E6DA">
      <w:pPr>
        <w:pStyle w:val="26"/>
        <w:numPr>
          <w:ilvl w:val="0"/>
          <w:numId w:val="6"/>
        </w:numPr>
        <w:pBdr>
          <w:top w:val="single" w:color="auto" w:sz="4" w:space="1"/>
          <w:left w:val="single" w:color="auto" w:sz="4" w:space="4"/>
          <w:bottom w:val="single" w:color="auto" w:sz="4" w:space="1"/>
          <w:right w:val="single" w:color="auto" w:sz="4" w:space="4"/>
        </w:pBdr>
        <w:rPr>
          <w:rFonts w:hint="default" w:ascii="Arial" w:hAnsi="Arial" w:cs="Arial"/>
          <w:sz w:val="20"/>
          <w:szCs w:val="20"/>
          <w:lang w:val="en-US"/>
        </w:rPr>
      </w:pPr>
      <w:r>
        <w:rPr>
          <w:rFonts w:hint="default" w:ascii="Arial" w:hAnsi="Arial" w:cs="Arial"/>
          <w:sz w:val="20"/>
          <w:szCs w:val="20"/>
          <w:lang w:val="en-US"/>
        </w:rPr>
        <w:t xml:space="preserve">Measurements for data collection purposes and logging based can be controlled based on power state of the UE.  It is up to UE implementation how the UE determines power state.  FFS whether the UE stops autonomously or if </w:t>
      </w:r>
      <w:r>
        <w:rPr>
          <w:rFonts w:hint="default" w:ascii="Arial" w:hAnsi="Arial" w:cs="Arial"/>
          <w:sz w:val="20"/>
          <w:szCs w:val="20"/>
          <w:highlight w:val="none"/>
          <w:lang w:val="en-US"/>
        </w:rPr>
        <w:t>it reports to the network</w:t>
      </w:r>
      <w:r>
        <w:rPr>
          <w:rFonts w:hint="default" w:ascii="Arial" w:hAnsi="Arial" w:cs="Arial"/>
          <w:sz w:val="20"/>
          <w:szCs w:val="20"/>
          <w:lang w:val="en-US"/>
        </w:rPr>
        <w:t xml:space="preserve"> .  </w:t>
      </w:r>
    </w:p>
    <w:p w14:paraId="3C289A12">
      <w:pPr>
        <w:pStyle w:val="26"/>
        <w:numPr>
          <w:ilvl w:val="0"/>
          <w:numId w:val="6"/>
        </w:numPr>
        <w:pBdr>
          <w:top w:val="single" w:color="auto" w:sz="4" w:space="1"/>
          <w:left w:val="single" w:color="auto" w:sz="4" w:space="4"/>
          <w:bottom w:val="single" w:color="auto" w:sz="4" w:space="1"/>
          <w:right w:val="single" w:color="auto" w:sz="4" w:space="4"/>
        </w:pBdr>
        <w:rPr>
          <w:rFonts w:hint="default" w:ascii="Arial" w:hAnsi="Arial" w:cs="Arial"/>
          <w:sz w:val="20"/>
          <w:szCs w:val="20"/>
          <w:lang w:val="en-US"/>
        </w:rPr>
      </w:pPr>
      <w:r>
        <w:rPr>
          <w:rFonts w:hint="default" w:ascii="Arial" w:hAnsi="Arial" w:cs="Arial"/>
          <w:sz w:val="20"/>
          <w:szCs w:val="20"/>
          <w:lang w:val="en-US"/>
        </w:rPr>
        <w:t xml:space="preserve">FFS whether AS buffer event based reporting is supported.  FFS if we send </w:t>
      </w:r>
      <w:r>
        <w:rPr>
          <w:rFonts w:hint="default" w:ascii="Arial" w:hAnsi="Arial" w:cs="Arial"/>
          <w:sz w:val="20"/>
          <w:szCs w:val="20"/>
          <w:highlight w:val="none"/>
          <w:lang w:val="en-US"/>
        </w:rPr>
        <w:t>availability indication</w:t>
      </w:r>
      <w:r>
        <w:rPr>
          <w:rFonts w:hint="default" w:ascii="Arial" w:hAnsi="Arial" w:cs="Arial"/>
          <w:sz w:val="20"/>
          <w:szCs w:val="20"/>
          <w:lang w:val="en-US"/>
        </w:rPr>
        <w:t xml:space="preserve"> or full report if it is supported</w:t>
      </w:r>
    </w:p>
    <w:p w14:paraId="02E3E3E3">
      <w:pPr>
        <w:pStyle w:val="26"/>
        <w:numPr>
          <w:ilvl w:val="0"/>
          <w:numId w:val="6"/>
        </w:numPr>
        <w:pBdr>
          <w:top w:val="single" w:color="auto" w:sz="4" w:space="1"/>
          <w:left w:val="single" w:color="auto" w:sz="4" w:space="4"/>
          <w:bottom w:val="single" w:color="auto" w:sz="4" w:space="1"/>
          <w:right w:val="single" w:color="auto" w:sz="4" w:space="4"/>
        </w:pBdr>
        <w:rPr>
          <w:rFonts w:hint="default" w:ascii="Arial" w:hAnsi="Arial" w:cs="Arial"/>
          <w:sz w:val="20"/>
          <w:szCs w:val="20"/>
          <w:lang w:val="en-US"/>
        </w:rPr>
      </w:pPr>
      <w:r>
        <w:rPr>
          <w:rFonts w:hint="default" w:ascii="Arial" w:hAnsi="Arial" w:cs="Arial"/>
          <w:sz w:val="20"/>
          <w:szCs w:val="20"/>
        </w:rPr>
        <w:t>FFS on event based data collection/logging</w:t>
      </w:r>
    </w:p>
    <w:p w14:paraId="6233BF5A">
      <w:pPr>
        <w:pStyle w:val="26"/>
        <w:numPr>
          <w:ilvl w:val="0"/>
          <w:numId w:val="0"/>
        </w:numPr>
        <w:pBdr>
          <w:top w:val="single" w:color="auto" w:sz="4" w:space="1"/>
          <w:left w:val="single" w:color="auto" w:sz="4" w:space="4"/>
          <w:bottom w:val="single" w:color="auto" w:sz="4" w:space="1"/>
          <w:right w:val="single" w:color="auto" w:sz="4" w:space="4"/>
        </w:pBdr>
        <w:ind w:left="1259" w:leftChars="0"/>
        <w:rPr>
          <w:rFonts w:hint="default" w:ascii="Arial" w:hAnsi="Arial" w:cs="Arial"/>
          <w:sz w:val="20"/>
          <w:szCs w:val="20"/>
          <w:lang w:val="en-US"/>
        </w:rPr>
      </w:pPr>
      <w:r>
        <w:rPr>
          <w:rFonts w:hint="default" w:ascii="Arial" w:hAnsi="Arial" w:cs="Arial"/>
          <w:sz w:val="20"/>
          <w:szCs w:val="20"/>
        </w:rPr>
        <w:t xml:space="preserve">On-demand request from the network is supported.   FFS details on signalling </w:t>
      </w:r>
    </w:p>
    <w:p w14:paraId="1E7B5DA4">
      <w:pPr>
        <w:pStyle w:val="26"/>
        <w:pBdr>
          <w:top w:val="single" w:color="auto" w:sz="4" w:space="1"/>
          <w:left w:val="single" w:color="auto" w:sz="4" w:space="4"/>
          <w:bottom w:val="single" w:color="auto" w:sz="4" w:space="1"/>
          <w:right w:val="single" w:color="auto" w:sz="4" w:space="4"/>
        </w:pBdr>
        <w:rPr>
          <w:rFonts w:hint="default" w:ascii="Arial" w:hAnsi="Arial" w:cs="Arial"/>
          <w:b/>
          <w:bCs/>
          <w:sz w:val="20"/>
          <w:szCs w:val="20"/>
          <w:lang w:val="en-US"/>
        </w:rPr>
      </w:pPr>
      <w:r>
        <w:rPr>
          <w:rFonts w:hint="default" w:ascii="Arial" w:hAnsi="Arial" w:cs="Arial"/>
          <w:b/>
          <w:bCs/>
          <w:sz w:val="20"/>
          <w:szCs w:val="20"/>
          <w:lang w:val="en-US"/>
        </w:rPr>
        <w:t xml:space="preserve">Agreements </w:t>
      </w:r>
    </w:p>
    <w:p w14:paraId="072B9DED">
      <w:pPr>
        <w:pStyle w:val="26"/>
        <w:numPr>
          <w:ilvl w:val="0"/>
          <w:numId w:val="7"/>
        </w:numPr>
        <w:pBdr>
          <w:top w:val="single" w:color="auto" w:sz="4" w:space="1"/>
          <w:left w:val="single" w:color="auto" w:sz="4" w:space="4"/>
          <w:bottom w:val="single" w:color="auto" w:sz="4" w:space="1"/>
          <w:right w:val="single" w:color="auto" w:sz="4" w:space="4"/>
        </w:pBdr>
        <w:rPr>
          <w:rFonts w:hint="default" w:ascii="Arial" w:hAnsi="Arial" w:cs="Arial"/>
          <w:i w:val="0"/>
          <w:iCs w:val="0"/>
          <w:sz w:val="20"/>
          <w:szCs w:val="20"/>
          <w:lang w:val="en-US"/>
        </w:rPr>
      </w:pPr>
      <w:r>
        <w:rPr>
          <w:rFonts w:hint="default" w:ascii="Arial" w:hAnsi="Arial" w:cs="Arial"/>
          <w:i w:val="0"/>
          <w:iCs w:val="0"/>
          <w:sz w:val="20"/>
          <w:szCs w:val="20"/>
          <w:lang w:val="en-US"/>
        </w:rPr>
        <w:t>The UE implementation can determine how many entries to include in the list radio measurements information, such that the maximum PDCP SDU size is not exceeded. No standardized RRC segmentation procedure is needed (as for the logged MDT measurements)</w:t>
      </w:r>
    </w:p>
    <w:p w14:paraId="66AB1491">
      <w:pPr>
        <w:pStyle w:val="26"/>
        <w:numPr>
          <w:ilvl w:val="0"/>
          <w:numId w:val="7"/>
        </w:numPr>
        <w:pBdr>
          <w:top w:val="single" w:color="auto" w:sz="4" w:space="1"/>
          <w:left w:val="single" w:color="auto" w:sz="4" w:space="4"/>
          <w:bottom w:val="single" w:color="auto" w:sz="4" w:space="1"/>
          <w:right w:val="single" w:color="auto" w:sz="4" w:space="4"/>
        </w:pBdr>
        <w:rPr>
          <w:sz w:val="20"/>
          <w:szCs w:val="20"/>
          <w:lang w:val="en-US"/>
        </w:rPr>
      </w:pPr>
      <w:r>
        <w:rPr>
          <w:rFonts w:hint="default" w:ascii="Arial" w:hAnsi="Arial" w:cs="Arial"/>
          <w:i w:val="0"/>
          <w:iCs w:val="0"/>
          <w:sz w:val="20"/>
          <w:szCs w:val="20"/>
          <w:lang w:val="en-US"/>
        </w:rPr>
        <w:t xml:space="preserve">Data collection report will not be transmitted over SRB1.  FFS which SRB is used. </w:t>
      </w:r>
    </w:p>
    <w:p w14:paraId="0CD57684">
      <w:pPr>
        <w:widowControl/>
        <w:spacing w:before="120" w:beforeLines="50" w:after="180"/>
        <w:rPr>
          <w:rFonts w:ascii="Arial" w:hAnsi="Arial" w:eastAsia="宋体" w:cs="Arial"/>
          <w:kern w:val="0"/>
          <w:sz w:val="20"/>
          <w:szCs w:val="20"/>
          <w:lang w:val="en-GB"/>
        </w:rPr>
      </w:pPr>
      <w:r>
        <w:rPr>
          <w:rFonts w:hint="eastAsia" w:ascii="Arial" w:hAnsi="Arial" w:eastAsia="宋体" w:cs="Arial"/>
          <w:kern w:val="0"/>
          <w:sz w:val="20"/>
          <w:szCs w:val="20"/>
          <w:lang w:val="en-US" w:eastAsia="zh-CN"/>
        </w:rPr>
        <w:t>T</w:t>
      </w:r>
      <w:r>
        <w:rPr>
          <w:rFonts w:ascii="Arial" w:hAnsi="Arial" w:eastAsia="宋体" w:cs="Arial"/>
          <w:kern w:val="0"/>
          <w:sz w:val="20"/>
          <w:szCs w:val="20"/>
          <w:lang w:val="en-GB"/>
        </w:rPr>
        <w:t>his contribution</w:t>
      </w:r>
      <w:r>
        <w:rPr>
          <w:rFonts w:ascii="Arial" w:hAnsi="Arial" w:cs="Arial"/>
          <w:sz w:val="20"/>
          <w:szCs w:val="20"/>
        </w:rPr>
        <w:t xml:space="preserve"> </w:t>
      </w:r>
      <w:r>
        <w:rPr>
          <w:rFonts w:hint="eastAsia" w:ascii="Arial" w:hAnsi="Arial" w:cs="Arial"/>
          <w:sz w:val="20"/>
          <w:szCs w:val="20"/>
        </w:rPr>
        <w:t xml:space="preserve">will </w:t>
      </w:r>
      <w:r>
        <w:rPr>
          <w:rFonts w:hint="eastAsia" w:ascii="Arial" w:hAnsi="Arial" w:eastAsia="宋体" w:cs="Arial"/>
          <w:kern w:val="0"/>
          <w:sz w:val="20"/>
          <w:szCs w:val="20"/>
          <w:lang w:val="en-US" w:eastAsia="zh-CN"/>
        </w:rPr>
        <w:t>discuss</w:t>
      </w:r>
      <w:r>
        <w:rPr>
          <w:rFonts w:hint="eastAsia" w:ascii="Arial" w:hAnsi="Arial" w:eastAsia="宋体" w:cs="Arial"/>
          <w:kern w:val="0"/>
          <w:sz w:val="20"/>
          <w:szCs w:val="20"/>
        </w:rPr>
        <w:t xml:space="preserve"> </w:t>
      </w:r>
      <w:r>
        <w:rPr>
          <w:rFonts w:hint="eastAsia" w:ascii="Arial" w:hAnsi="Arial" w:eastAsia="宋体" w:cs="Arial"/>
          <w:kern w:val="0"/>
          <w:sz w:val="20"/>
          <w:szCs w:val="20"/>
          <w:lang w:val="en-US" w:eastAsia="zh-CN"/>
        </w:rPr>
        <w:t>the remaining issues for NW side data collection</w:t>
      </w:r>
      <w:r>
        <w:rPr>
          <w:rFonts w:ascii="Arial" w:hAnsi="Arial" w:eastAsia="宋体" w:cs="Arial"/>
          <w:kern w:val="0"/>
          <w:sz w:val="20"/>
          <w:szCs w:val="20"/>
          <w:lang w:val="en-GB"/>
        </w:rPr>
        <w:t>.</w:t>
      </w:r>
    </w:p>
    <w:p w14:paraId="385CCF9D">
      <w:pPr>
        <w:keepNext/>
        <w:keepLines/>
        <w:widowControl/>
        <w:numPr>
          <w:ilvl w:val="0"/>
          <w:numId w:val="8"/>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 xml:space="preserve"> </w:t>
      </w:r>
      <w:r>
        <w:rPr>
          <w:rFonts w:hint="eastAsia" w:ascii="Arial" w:hAnsi="Arial" w:eastAsia="宋体" w:cs="Arial"/>
          <w:kern w:val="0"/>
          <w:sz w:val="36"/>
          <w:szCs w:val="20"/>
        </w:rPr>
        <w:t>Discussion</w:t>
      </w:r>
    </w:p>
    <w:p w14:paraId="03BE3FD2">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val="0"/>
          <w:bCs/>
          <w:sz w:val="28"/>
          <w:szCs w:val="28"/>
          <w:lang w:val="en-US" w:eastAsia="zh-CN"/>
        </w:rPr>
      </w:pPr>
      <w:r>
        <w:rPr>
          <w:rFonts w:hint="eastAsia" w:ascii="Arial" w:hAnsi="Arial" w:cs="Arial"/>
          <w:b w:val="0"/>
          <w:bCs/>
          <w:sz w:val="28"/>
          <w:szCs w:val="28"/>
          <w:lang w:val="en-US" w:eastAsia="zh-CN"/>
        </w:rPr>
        <w:t>2.1 NW side data collection for beam management</w:t>
      </w:r>
    </w:p>
    <w:p w14:paraId="26EAE17A">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sz w:val="20"/>
          <w:szCs w:val="20"/>
          <w:lang w:val="en-US" w:eastAsia="zh-CN"/>
        </w:rPr>
      </w:pPr>
      <w:r>
        <w:rPr>
          <w:rFonts w:hint="eastAsia" w:ascii="Arial" w:hAnsi="Arial" w:cs="Arial"/>
          <w:b/>
          <w:bCs/>
          <w:i/>
          <w:iCs/>
          <w:sz w:val="20"/>
          <w:szCs w:val="20"/>
          <w:u w:val="single"/>
          <w:lang w:val="en-US" w:eastAsia="zh-CN"/>
        </w:rPr>
        <w:t>Issue#1: FFS on multiple configurations and dynamic activation/deactivation</w:t>
      </w:r>
    </w:p>
    <w:p w14:paraId="61FAFDD3">
      <w:pPr>
        <w:numPr>
          <w:ilvl w:val="0"/>
          <w:numId w:val="0"/>
        </w:numPr>
        <w:spacing w:before="120" w:beforeLines="50" w:after="120" w:line="260" w:lineRule="exact"/>
        <w:rPr>
          <w:rFonts w:hint="default" w:ascii="Arial" w:hAnsi="Arial" w:eastAsia="宋体" w:cs="Arial"/>
          <w:sz w:val="20"/>
          <w:szCs w:val="20"/>
          <w:lang w:val="en-US" w:eastAsia="zh-CN"/>
        </w:rPr>
      </w:pPr>
      <w:r>
        <w:rPr>
          <w:rFonts w:hint="eastAsia" w:ascii="Arial" w:hAnsi="Arial" w:eastAsia="宋体" w:cs="Arial"/>
          <w:sz w:val="20"/>
          <w:szCs w:val="20"/>
          <w:lang w:val="en-US" w:eastAsia="zh-CN"/>
        </w:rPr>
        <w:t>In legacy CSI measurement/report mechanism, there can be multiple CSI configurations provided to the UE, and the UE would report multiple CSI reports to the network. For training data collection for beam management, the similar mechanism can be reused.</w:t>
      </w:r>
    </w:p>
    <w:p w14:paraId="419BCEE9">
      <w:pPr>
        <w:numPr>
          <w:ilvl w:val="0"/>
          <w:numId w:val="0"/>
        </w:numPr>
        <w:spacing w:before="120" w:beforeLines="50" w:after="120" w:line="260" w:lineRule="exact"/>
        <w:rPr>
          <w:rFonts w:hint="eastAsia" w:ascii="Arial" w:hAnsi="Arial" w:eastAsia="宋体" w:cs="Arial"/>
          <w:b/>
          <w:bCs/>
          <w:sz w:val="20"/>
          <w:szCs w:val="20"/>
          <w:lang w:val="en-US" w:eastAsia="zh-CN"/>
        </w:rPr>
      </w:pPr>
      <w:r>
        <w:rPr>
          <w:rFonts w:hint="eastAsia" w:ascii="Arial" w:hAnsi="Arial" w:eastAsia="宋体" w:cs="Arial"/>
          <w:b/>
          <w:bCs/>
          <w:sz w:val="20"/>
          <w:szCs w:val="20"/>
          <w:lang w:val="en-US" w:eastAsia="zh-CN"/>
        </w:rPr>
        <w:t>Proposal 1：There can be multiple measurement configurations provided to the UE.</w:t>
      </w:r>
    </w:p>
    <w:p w14:paraId="36EA9FBA">
      <w:pPr>
        <w:numPr>
          <w:ilvl w:val="0"/>
          <w:numId w:val="0"/>
        </w:numPr>
        <w:spacing w:before="120" w:beforeLines="50" w:after="120" w:line="260" w:lineRule="exact"/>
        <w:rPr>
          <w:rFonts w:hint="eastAsia" w:ascii="Arial" w:hAnsi="Arial" w:cs="Arial"/>
          <w:sz w:val="20"/>
          <w:szCs w:val="20"/>
          <w:lang w:val="en-US" w:eastAsia="zh-CN"/>
        </w:rPr>
      </w:pPr>
      <w:r>
        <w:rPr>
          <w:rFonts w:hint="eastAsia" w:ascii="Arial" w:hAnsi="Arial" w:eastAsia="宋体" w:cs="Arial"/>
          <w:sz w:val="20"/>
          <w:szCs w:val="20"/>
          <w:lang w:val="en-US" w:eastAsia="zh-CN"/>
        </w:rPr>
        <w:t xml:space="preserve">In current immediate MDT mechanism, the UE follows the RRM measurement behavior, i.e., the UE starts to collect measurement data upon reception of the measurement configuration. We think the motivation and gain of introducing </w:t>
      </w:r>
      <w:r>
        <w:rPr>
          <w:rFonts w:hint="default" w:ascii="Arial" w:hAnsi="Arial" w:cs="Arial"/>
          <w:sz w:val="20"/>
          <w:szCs w:val="20"/>
          <w:lang w:val="en-US"/>
        </w:rPr>
        <w:t>dynamic activation/deactivation</w:t>
      </w:r>
      <w:r>
        <w:rPr>
          <w:rFonts w:hint="eastAsia" w:ascii="Arial" w:hAnsi="Arial" w:cs="Arial"/>
          <w:sz w:val="20"/>
          <w:szCs w:val="20"/>
          <w:lang w:val="en-US" w:eastAsia="zh-CN"/>
        </w:rPr>
        <w:t xml:space="preserve"> is unclear, and prefer that the UE starts the measurement immediately upon reception of the measurement configuration.</w:t>
      </w:r>
    </w:p>
    <w:p w14:paraId="226F6388">
      <w:pPr>
        <w:numPr>
          <w:ilvl w:val="0"/>
          <w:numId w:val="0"/>
        </w:numPr>
        <w:spacing w:before="120" w:beforeLines="50" w:after="120" w:line="260" w:lineRule="exact"/>
        <w:rPr>
          <w:rFonts w:hint="eastAsia" w:ascii="Arial" w:hAnsi="Arial" w:cs="Arial"/>
          <w:b/>
          <w:bCs/>
          <w:sz w:val="20"/>
          <w:szCs w:val="20"/>
          <w:lang w:val="en-US" w:eastAsia="zh-CN"/>
        </w:rPr>
      </w:pPr>
      <w:r>
        <w:rPr>
          <w:rFonts w:hint="eastAsia" w:ascii="Arial" w:hAnsi="Arial" w:cs="Arial"/>
          <w:b/>
          <w:bCs/>
          <w:sz w:val="20"/>
          <w:szCs w:val="20"/>
          <w:lang w:val="en-US" w:eastAsia="zh-CN"/>
        </w:rPr>
        <w:t xml:space="preserve">Proposal 2: The UE starts the data collection immediately upon reception of the measurement configuration. The </w:t>
      </w:r>
      <w:r>
        <w:rPr>
          <w:rFonts w:hint="default" w:ascii="Arial" w:hAnsi="Arial" w:cs="Arial"/>
          <w:b/>
          <w:bCs/>
          <w:sz w:val="20"/>
          <w:szCs w:val="20"/>
          <w:lang w:val="en-US"/>
        </w:rPr>
        <w:t xml:space="preserve">dynamic activation/deactivation is </w:t>
      </w:r>
      <w:r>
        <w:rPr>
          <w:rFonts w:hint="eastAsia" w:ascii="Arial" w:hAnsi="Arial" w:cs="Arial"/>
          <w:b/>
          <w:bCs/>
          <w:sz w:val="20"/>
          <w:szCs w:val="20"/>
          <w:lang w:val="en-US" w:eastAsia="zh-CN"/>
        </w:rPr>
        <w:t xml:space="preserve">not </w:t>
      </w:r>
      <w:r>
        <w:rPr>
          <w:rFonts w:hint="default" w:ascii="Arial" w:hAnsi="Arial" w:cs="Arial"/>
          <w:b/>
          <w:bCs/>
          <w:sz w:val="20"/>
          <w:szCs w:val="20"/>
          <w:lang w:val="en-US"/>
        </w:rPr>
        <w:t>support</w:t>
      </w:r>
      <w:r>
        <w:rPr>
          <w:rFonts w:hint="eastAsia" w:ascii="Arial" w:hAnsi="Arial" w:cs="Arial"/>
          <w:b/>
          <w:bCs/>
          <w:sz w:val="20"/>
          <w:szCs w:val="20"/>
          <w:lang w:val="en-US" w:eastAsia="zh-CN"/>
        </w:rPr>
        <w:t xml:space="preserve">. </w:t>
      </w:r>
    </w:p>
    <w:p w14:paraId="6B7FD762">
      <w:pPr>
        <w:numPr>
          <w:ilvl w:val="0"/>
          <w:numId w:val="0"/>
        </w:numPr>
        <w:spacing w:before="120" w:beforeLines="50" w:after="120" w:line="260" w:lineRule="exact"/>
        <w:rPr>
          <w:rFonts w:hint="default" w:ascii="Arial" w:hAnsi="Arial" w:cs="Arial"/>
          <w:b/>
          <w:bCs/>
          <w:sz w:val="20"/>
          <w:szCs w:val="20"/>
          <w:lang w:val="en-US" w:eastAsia="zh-CN"/>
        </w:rPr>
      </w:pPr>
    </w:p>
    <w:p w14:paraId="7E178192">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b/>
          <w:bCs/>
          <w:i/>
          <w:iCs/>
          <w:sz w:val="20"/>
          <w:szCs w:val="20"/>
          <w:u w:val="single"/>
          <w:lang w:val="en-US" w:eastAsia="zh-CN"/>
        </w:rPr>
      </w:pPr>
      <w:r>
        <w:rPr>
          <w:rFonts w:hint="eastAsia" w:ascii="Arial" w:hAnsi="Arial" w:cs="Arial"/>
          <w:b/>
          <w:bCs/>
          <w:i/>
          <w:iCs/>
          <w:sz w:val="20"/>
          <w:szCs w:val="20"/>
          <w:u w:val="single"/>
          <w:lang w:val="en-US" w:eastAsia="zh-CN"/>
        </w:rPr>
        <w:t>Issue#2: FFS on memory size</w:t>
      </w:r>
    </w:p>
    <w:p w14:paraId="7CF5C19A">
      <w:pPr>
        <w:numPr>
          <w:ilvl w:val="0"/>
          <w:numId w:val="0"/>
        </w:numPr>
        <w:spacing w:before="120" w:beforeLines="50" w:after="120" w:line="260" w:lineRule="exact"/>
        <w:rPr>
          <w:rFonts w:hint="eastAsia" w:ascii="Arial" w:hAnsi="Arial" w:cs="Arial"/>
          <w:sz w:val="20"/>
          <w:szCs w:val="20"/>
          <w:lang w:val="en-US" w:eastAsia="zh-CN"/>
        </w:rPr>
      </w:pPr>
      <w:r>
        <w:rPr>
          <w:rFonts w:hint="eastAsia" w:ascii="Arial" w:hAnsi="Arial" w:cs="Arial"/>
          <w:sz w:val="20"/>
          <w:szCs w:val="20"/>
          <w:lang w:val="en-US" w:eastAsia="zh-CN"/>
        </w:rPr>
        <w:t xml:space="preserve">RAN2 agreed that </w:t>
      </w:r>
      <w:r>
        <w:rPr>
          <w:rFonts w:hint="default" w:ascii="Arial" w:hAnsi="Arial" w:cs="Arial"/>
          <w:sz w:val="20"/>
          <w:szCs w:val="20"/>
          <w:lang w:val="en-US" w:eastAsia="zh-CN"/>
        </w:rPr>
        <w:t xml:space="preserve">UE stores the logged training data at AS layer with a minimum AS layer memory size supported by the UE. </w:t>
      </w:r>
      <w:r>
        <w:rPr>
          <w:rFonts w:hint="eastAsia" w:ascii="Arial" w:hAnsi="Arial" w:cs="Arial"/>
          <w:sz w:val="20"/>
          <w:szCs w:val="20"/>
          <w:lang w:val="en-US" w:eastAsia="zh-CN"/>
        </w:rPr>
        <w:t>In legacy logged MDT and QoE measurement, the minimum AS layer memory size is 64KB [2]. We prefer to follow the legacy value for logging training data.</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067DD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32876909">
            <w:pPr>
              <w:numPr>
                <w:ilvl w:val="0"/>
                <w:numId w:val="0"/>
              </w:numPr>
              <w:spacing w:before="120" w:beforeLines="50" w:after="120" w:line="260" w:lineRule="exact"/>
              <w:rPr>
                <w:rFonts w:hint="eastAsia" w:ascii="Arial" w:hAnsi="Arial" w:cs="Arial"/>
                <w:b/>
                <w:bCs/>
                <w:sz w:val="20"/>
                <w:szCs w:val="20"/>
                <w:lang w:val="en-US" w:eastAsia="zh-CN"/>
              </w:rPr>
            </w:pPr>
            <w:r>
              <w:rPr>
                <w:rFonts w:hint="eastAsia" w:ascii="Arial" w:hAnsi="Arial" w:cs="Arial"/>
                <w:b/>
                <w:bCs/>
                <w:sz w:val="20"/>
                <w:szCs w:val="20"/>
                <w:lang w:val="en-US" w:eastAsia="zh-CN"/>
              </w:rPr>
              <w:t>TS 38.306, Section 4.2.18</w:t>
            </w:r>
          </w:p>
          <w:tbl>
            <w:tblPr>
              <w:tblStyle w:val="15"/>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0" w:type="dxa"/>
                <w:left w:w="108" w:type="dxa"/>
                <w:bottom w:w="0" w:type="dxa"/>
                <w:right w:w="108" w:type="dxa"/>
              </w:tblCellMar>
            </w:tblPr>
            <w:tblGrid>
              <w:gridCol w:w="6553"/>
              <w:gridCol w:w="560"/>
              <w:gridCol w:w="553"/>
              <w:gridCol w:w="1016"/>
              <w:gridCol w:w="957"/>
            </w:tblGrid>
            <w:tr w14:paraId="7502C83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7088" w:type="dxa"/>
                  <w:shd w:val="clear" w:color="auto" w:fill="auto"/>
                  <w:vAlign w:val="top"/>
                </w:tcPr>
                <w:p w14:paraId="0F0556D6">
                  <w:pPr>
                    <w:pStyle w:val="41"/>
                    <w:rPr>
                      <w:rFonts w:ascii="Arial" w:hAnsi="Arial" w:eastAsiaTheme="minorEastAsia" w:cstheme="minorBidi"/>
                      <w:b/>
                      <w:kern w:val="2"/>
                      <w:sz w:val="18"/>
                      <w:szCs w:val="22"/>
                      <w:lang w:val="en-US" w:eastAsia="zh-CN" w:bidi="ar-SA"/>
                    </w:rPr>
                  </w:pPr>
                  <w:r>
                    <w:t>Definitions for parameters</w:t>
                  </w:r>
                </w:p>
              </w:tc>
              <w:tc>
                <w:tcPr>
                  <w:tcW w:w="567" w:type="dxa"/>
                  <w:shd w:val="clear" w:color="auto" w:fill="auto"/>
                  <w:vAlign w:val="top"/>
                </w:tcPr>
                <w:p w14:paraId="707A0BA2">
                  <w:pPr>
                    <w:pStyle w:val="41"/>
                    <w:rPr>
                      <w:rFonts w:ascii="Arial" w:hAnsi="Arial" w:eastAsiaTheme="minorEastAsia" w:cstheme="minorBidi"/>
                      <w:b/>
                      <w:kern w:val="2"/>
                      <w:sz w:val="18"/>
                      <w:szCs w:val="22"/>
                      <w:lang w:val="en-US" w:eastAsia="zh-CN" w:bidi="ar-SA"/>
                    </w:rPr>
                  </w:pPr>
                  <w:r>
                    <w:t>Per</w:t>
                  </w:r>
                </w:p>
              </w:tc>
              <w:tc>
                <w:tcPr>
                  <w:tcW w:w="567" w:type="dxa"/>
                  <w:shd w:val="clear" w:color="auto" w:fill="auto"/>
                  <w:vAlign w:val="top"/>
                </w:tcPr>
                <w:p w14:paraId="5694C82C">
                  <w:pPr>
                    <w:pStyle w:val="41"/>
                    <w:rPr>
                      <w:rFonts w:ascii="Arial" w:hAnsi="Arial" w:eastAsiaTheme="minorEastAsia" w:cstheme="minorBidi"/>
                      <w:b/>
                      <w:kern w:val="2"/>
                      <w:sz w:val="18"/>
                      <w:szCs w:val="22"/>
                      <w:lang w:val="en-US" w:eastAsia="zh-CN" w:bidi="ar-SA"/>
                    </w:rPr>
                  </w:pPr>
                  <w:r>
                    <w:t>M</w:t>
                  </w:r>
                </w:p>
              </w:tc>
              <w:tc>
                <w:tcPr>
                  <w:tcW w:w="709" w:type="dxa"/>
                  <w:shd w:val="clear" w:color="auto" w:fill="auto"/>
                  <w:vAlign w:val="top"/>
                </w:tcPr>
                <w:p w14:paraId="00DA41FD">
                  <w:pPr>
                    <w:pStyle w:val="41"/>
                    <w:rPr>
                      <w:rFonts w:ascii="Arial" w:hAnsi="Arial" w:eastAsiaTheme="minorEastAsia" w:cstheme="minorBidi"/>
                      <w:b/>
                      <w:kern w:val="2"/>
                      <w:sz w:val="18"/>
                      <w:szCs w:val="22"/>
                      <w:lang w:val="en-US" w:eastAsia="zh-CN" w:bidi="ar-SA"/>
                    </w:rPr>
                  </w:pPr>
                  <w:r>
                    <w:t>FDD-TDD DIFF</w:t>
                  </w:r>
                </w:p>
              </w:tc>
              <w:tc>
                <w:tcPr>
                  <w:tcW w:w="708" w:type="dxa"/>
                  <w:shd w:val="clear" w:color="auto" w:fill="auto"/>
                  <w:vAlign w:val="top"/>
                </w:tcPr>
                <w:p w14:paraId="25C85E7C">
                  <w:pPr>
                    <w:pStyle w:val="41"/>
                    <w:rPr>
                      <w:rFonts w:ascii="Arial" w:hAnsi="Arial" w:eastAsiaTheme="minorEastAsia" w:cstheme="minorBidi"/>
                      <w:b/>
                      <w:kern w:val="2"/>
                      <w:sz w:val="18"/>
                      <w:szCs w:val="22"/>
                      <w:lang w:val="en-US" w:eastAsia="zh-CN" w:bidi="ar-SA"/>
                    </w:rPr>
                  </w:pPr>
                  <w:r>
                    <w:t>FR1-FR2 DIFF</w:t>
                  </w:r>
                </w:p>
              </w:tc>
            </w:tr>
            <w:tr w14:paraId="0DDF082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7088" w:type="dxa"/>
                </w:tcPr>
                <w:p w14:paraId="61D6A9A4">
                  <w:pPr>
                    <w:pStyle w:val="40"/>
                    <w:rPr>
                      <w:b/>
                      <w:bCs/>
                      <w:i/>
                      <w:iCs/>
                    </w:rPr>
                  </w:pPr>
                  <w:r>
                    <w:rPr>
                      <w:b/>
                      <w:bCs/>
                      <w:i/>
                      <w:iCs/>
                    </w:rPr>
                    <w:t>loggedMeasurements-r16</w:t>
                  </w:r>
                </w:p>
                <w:p w14:paraId="5F70DC89">
                  <w:pPr>
                    <w:pStyle w:val="40"/>
                    <w:rPr>
                      <w:rFonts w:hint="eastAsia" w:cs="Arial" w:eastAsiaTheme="minorEastAsia"/>
                      <w:szCs w:val="18"/>
                      <w:lang w:val="en-US" w:eastAsia="zh-CN"/>
                    </w:rPr>
                  </w:pPr>
                  <w:r>
                    <w:t xml:space="preserve">Indicates whether the UE supports logged measurements in RRC_IDLE and RRC_INACTIVE. A UE that supports logged measurements shall support both periodical logging and event-triggered logging. </w:t>
                  </w:r>
                  <w:r>
                    <w:rPr>
                      <w:highlight w:val="yellow"/>
                    </w:rPr>
                    <w:t>The memory size of MDT logged measurements is 64KB.</w:t>
                  </w:r>
                  <w:r>
                    <w:rPr>
                      <w:rFonts w:hint="eastAsia"/>
                      <w:highlight w:val="none"/>
                      <w:lang w:val="en-US" w:eastAsia="zh-CN"/>
                    </w:rPr>
                    <w:t xml:space="preserve"> </w:t>
                  </w:r>
                  <w:r>
                    <w:t>For eRedCap UE supporting this feature, the minimum memory size of MDT logged measurements is 16KB.</w:t>
                  </w:r>
                </w:p>
              </w:tc>
              <w:tc>
                <w:tcPr>
                  <w:tcW w:w="567" w:type="dxa"/>
                </w:tcPr>
                <w:p w14:paraId="1F718F1D">
                  <w:pPr>
                    <w:pStyle w:val="40"/>
                    <w:jc w:val="center"/>
                    <w:rPr>
                      <w:rFonts w:cs="Arial"/>
                      <w:szCs w:val="18"/>
                    </w:rPr>
                  </w:pPr>
                  <w:r>
                    <w:rPr>
                      <w:rFonts w:cs="Arial"/>
                      <w:szCs w:val="18"/>
                    </w:rPr>
                    <w:t>UE</w:t>
                  </w:r>
                </w:p>
              </w:tc>
              <w:tc>
                <w:tcPr>
                  <w:tcW w:w="567" w:type="dxa"/>
                </w:tcPr>
                <w:p w14:paraId="624ACEC3">
                  <w:pPr>
                    <w:pStyle w:val="40"/>
                    <w:jc w:val="center"/>
                    <w:rPr>
                      <w:rFonts w:cs="Arial"/>
                      <w:szCs w:val="18"/>
                    </w:rPr>
                  </w:pPr>
                  <w:r>
                    <w:rPr>
                      <w:rFonts w:cs="Arial"/>
                      <w:szCs w:val="18"/>
                    </w:rPr>
                    <w:t>No</w:t>
                  </w:r>
                </w:p>
              </w:tc>
              <w:tc>
                <w:tcPr>
                  <w:tcW w:w="709" w:type="dxa"/>
                </w:tcPr>
                <w:p w14:paraId="075A0CCA">
                  <w:pPr>
                    <w:pStyle w:val="40"/>
                    <w:jc w:val="center"/>
                    <w:rPr>
                      <w:rFonts w:cs="Arial"/>
                      <w:szCs w:val="18"/>
                    </w:rPr>
                  </w:pPr>
                  <w:r>
                    <w:rPr>
                      <w:rFonts w:cs="Arial"/>
                      <w:szCs w:val="18"/>
                    </w:rPr>
                    <w:t>No</w:t>
                  </w:r>
                </w:p>
              </w:tc>
              <w:tc>
                <w:tcPr>
                  <w:tcW w:w="708" w:type="dxa"/>
                </w:tcPr>
                <w:p w14:paraId="3F3605BC">
                  <w:pPr>
                    <w:pStyle w:val="40"/>
                    <w:jc w:val="center"/>
                    <w:rPr>
                      <w:rFonts w:cs="Arial"/>
                      <w:szCs w:val="18"/>
                    </w:rPr>
                  </w:pPr>
                  <w:r>
                    <w:rPr>
                      <w:rFonts w:cs="Arial"/>
                      <w:szCs w:val="18"/>
                    </w:rPr>
                    <w:t>No</w:t>
                  </w:r>
                </w:p>
              </w:tc>
            </w:tr>
          </w:tbl>
          <w:p w14:paraId="5124F216">
            <w:pPr>
              <w:numPr>
                <w:ilvl w:val="0"/>
                <w:numId w:val="0"/>
              </w:numPr>
              <w:spacing w:before="120" w:beforeLines="50" w:after="120" w:line="260" w:lineRule="exact"/>
              <w:rPr>
                <w:rFonts w:hint="eastAsia" w:ascii="Arial" w:hAnsi="Arial" w:cs="Arial"/>
                <w:b/>
                <w:bCs/>
                <w:sz w:val="20"/>
                <w:szCs w:val="20"/>
                <w:lang w:val="en-US" w:eastAsia="zh-CN"/>
              </w:rPr>
            </w:pPr>
            <w:r>
              <w:rPr>
                <w:rFonts w:hint="eastAsia" w:ascii="Arial" w:hAnsi="Arial" w:cs="Arial"/>
                <w:b/>
                <w:bCs/>
                <w:sz w:val="20"/>
                <w:szCs w:val="20"/>
                <w:lang w:val="en-US" w:eastAsia="zh-CN"/>
              </w:rPr>
              <w:t xml:space="preserve">TS 38.306, Section 6 </w:t>
            </w:r>
          </w:p>
          <w:tbl>
            <w:tblPr>
              <w:tblStyle w:val="15"/>
              <w:tblW w:w="9630"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0" w:type="dxa"/>
                <w:left w:w="108" w:type="dxa"/>
                <w:bottom w:w="0" w:type="dxa"/>
                <w:right w:w="108" w:type="dxa"/>
              </w:tblCellMar>
            </w:tblPr>
            <w:tblGrid>
              <w:gridCol w:w="4423"/>
              <w:gridCol w:w="5207"/>
            </w:tblGrid>
            <w:tr w14:paraId="46171C8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4423" w:type="dxa"/>
                </w:tcPr>
                <w:p w14:paraId="62AD8BD6">
                  <w:pPr>
                    <w:pStyle w:val="41"/>
                    <w:rPr>
                      <w:rFonts w:cs="Arial"/>
                      <w:szCs w:val="18"/>
                    </w:rPr>
                  </w:pPr>
                  <w:r>
                    <w:rPr>
                      <w:rFonts w:cs="Arial"/>
                      <w:szCs w:val="18"/>
                    </w:rPr>
                    <w:t>Features</w:t>
                  </w:r>
                </w:p>
              </w:tc>
              <w:tc>
                <w:tcPr>
                  <w:tcW w:w="5207" w:type="dxa"/>
                </w:tcPr>
                <w:p w14:paraId="50B98C1B">
                  <w:pPr>
                    <w:pStyle w:val="41"/>
                    <w:rPr>
                      <w:rFonts w:cs="Arial"/>
                      <w:szCs w:val="18"/>
                    </w:rPr>
                  </w:pPr>
                  <w:r>
                    <w:rPr>
                      <w:rFonts w:cs="Arial"/>
                      <w:szCs w:val="18"/>
                    </w:rPr>
                    <w:t>Condition</w:t>
                  </w:r>
                </w:p>
              </w:tc>
            </w:tr>
            <w:tr w14:paraId="3267154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255" w:hRule="atLeast"/>
              </w:trPr>
              <w:tc>
                <w:tcPr>
                  <w:tcW w:w="4423" w:type="dxa"/>
                </w:tcPr>
                <w:p w14:paraId="2523B3CC">
                  <w:pPr>
                    <w:pStyle w:val="40"/>
                  </w:pPr>
                  <w:r>
                    <w:t>AS layer memory size for QoE paused measurement reports</w:t>
                  </w:r>
                </w:p>
              </w:tc>
              <w:tc>
                <w:tcPr>
                  <w:tcW w:w="5207" w:type="dxa"/>
                </w:tcPr>
                <w:p w14:paraId="269B9DDD">
                  <w:pPr>
                    <w:pStyle w:val="40"/>
                  </w:pPr>
                  <w:r>
                    <w:t xml:space="preserve">It is mandatory to support the </w:t>
                  </w:r>
                  <w:r>
                    <w:rPr>
                      <w:highlight w:val="yellow"/>
                    </w:rPr>
                    <w:t>minimum AS layer memory size of 64KB</w:t>
                  </w:r>
                  <w:r>
                    <w:t xml:space="preserve"> for QoE paused measurement reports for UEs which support </w:t>
                  </w:r>
                  <w:r>
                    <w:rPr>
                      <w:i/>
                      <w:iCs/>
                    </w:rPr>
                    <w:t>qoe</w:t>
                  </w:r>
                  <w:r>
                    <w:rPr>
                      <w:i/>
                      <w:iCs/>
                      <w:lang w:eastAsia="zh-CN"/>
                    </w:rPr>
                    <w:t>-Streaming-MeasReport-r17</w:t>
                  </w:r>
                  <w:r>
                    <w:rPr>
                      <w:lang w:eastAsia="zh-CN"/>
                    </w:rPr>
                    <w:t xml:space="preserve">, </w:t>
                  </w:r>
                  <w:r>
                    <w:rPr>
                      <w:i/>
                      <w:iCs/>
                      <w:lang w:eastAsia="zh-CN"/>
                    </w:rPr>
                    <w:t>qoe-MTSI-MeasReport-r17</w:t>
                  </w:r>
                  <w:r>
                    <w:rPr>
                      <w:lang w:eastAsia="zh-CN"/>
                    </w:rPr>
                    <w:t xml:space="preserve"> or </w:t>
                  </w:r>
                  <w:r>
                    <w:rPr>
                      <w:i/>
                      <w:iCs/>
                      <w:lang w:eastAsia="zh-CN"/>
                    </w:rPr>
                    <w:t>qoe-VR-MeasReport-r17</w:t>
                  </w:r>
                  <w:r>
                    <w:rPr>
                      <w:lang w:eastAsia="zh-CN"/>
                    </w:rPr>
                    <w:t>.</w:t>
                  </w:r>
                </w:p>
              </w:tc>
            </w:tr>
            <w:tr w14:paraId="3D4E625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255" w:hRule="atLeast"/>
              </w:trPr>
              <w:tc>
                <w:tcPr>
                  <w:tcW w:w="4423" w:type="dxa"/>
                </w:tcPr>
                <w:p w14:paraId="3583BBAD">
                  <w:pPr>
                    <w:pStyle w:val="40"/>
                  </w:pPr>
                  <w:r>
                    <w:t>AS layer memory size for QoE measurement reports in RRC_IDLE and RRC_INACTIVE</w:t>
                  </w:r>
                </w:p>
              </w:tc>
              <w:tc>
                <w:tcPr>
                  <w:tcW w:w="5207" w:type="dxa"/>
                </w:tcPr>
                <w:p w14:paraId="39BB1BC4">
                  <w:pPr>
                    <w:pStyle w:val="40"/>
                  </w:pPr>
                  <w:r>
                    <w:t xml:space="preserve">It is mandatory to support the </w:t>
                  </w:r>
                  <w:r>
                    <w:rPr>
                      <w:highlight w:val="yellow"/>
                    </w:rPr>
                    <w:t>minimum AS layer memory size of 64KB</w:t>
                  </w:r>
                  <w:r>
                    <w:t xml:space="preserve"> for QoE measurement reports stored in RRC_IDLE/RRC_INACTIVE for UEs which support </w:t>
                  </w:r>
                  <w:r>
                    <w:rPr>
                      <w:i/>
                      <w:iCs/>
                    </w:rPr>
                    <w:t>qoe-IdleInactiveMeasReport-r18</w:t>
                  </w:r>
                  <w:r>
                    <w:t xml:space="preserve"> and any of </w:t>
                  </w:r>
                  <w:r>
                    <w:rPr>
                      <w:i/>
                      <w:iCs/>
                    </w:rPr>
                    <w:t>qoe-Streaming-MeasReport-r17</w:t>
                  </w:r>
                  <w:r>
                    <w:t xml:space="preserve"> or </w:t>
                  </w:r>
                  <w:r>
                    <w:rPr>
                      <w:i/>
                      <w:iCs/>
                    </w:rPr>
                    <w:t>qoe-MTSI-MeasReport-r17</w:t>
                  </w:r>
                  <w:r>
                    <w:t xml:space="preserve"> or </w:t>
                  </w:r>
                  <w:r>
                    <w:rPr>
                      <w:i/>
                      <w:iCs/>
                    </w:rPr>
                    <w:t>qoe-VR-MeasReport-r17</w:t>
                  </w:r>
                  <w:r>
                    <w:t>. This memory size is additional to "AS layer memory size for QoE paused measurement reports"</w:t>
                  </w:r>
                </w:p>
              </w:tc>
            </w:tr>
          </w:tbl>
          <w:p w14:paraId="72AC7B52">
            <w:pPr>
              <w:numPr>
                <w:ilvl w:val="0"/>
                <w:numId w:val="0"/>
              </w:numPr>
              <w:spacing w:before="120" w:beforeLines="50" w:after="120" w:line="260" w:lineRule="exact"/>
              <w:rPr>
                <w:rFonts w:hint="eastAsia" w:ascii="Arial" w:hAnsi="Arial" w:cs="Arial"/>
                <w:sz w:val="20"/>
                <w:szCs w:val="20"/>
                <w:vertAlign w:val="baseline"/>
                <w:lang w:val="en-US" w:eastAsia="zh-CN"/>
              </w:rPr>
            </w:pPr>
          </w:p>
        </w:tc>
      </w:tr>
    </w:tbl>
    <w:p w14:paraId="20807477">
      <w:pPr>
        <w:numPr>
          <w:ilvl w:val="0"/>
          <w:numId w:val="0"/>
        </w:numPr>
        <w:spacing w:before="120" w:beforeLines="50" w:after="120" w:line="260" w:lineRule="exact"/>
        <w:rPr>
          <w:rFonts w:hint="eastAsia" w:ascii="Arial" w:hAnsi="Arial" w:cs="Arial"/>
          <w:b/>
          <w:bCs/>
          <w:sz w:val="20"/>
          <w:szCs w:val="20"/>
          <w:lang w:val="en-US" w:eastAsia="zh-CN"/>
        </w:rPr>
      </w:pPr>
      <w:r>
        <w:rPr>
          <w:rFonts w:hint="eastAsia" w:ascii="Arial" w:hAnsi="Arial" w:cs="Arial"/>
          <w:b/>
          <w:bCs/>
          <w:sz w:val="20"/>
          <w:szCs w:val="20"/>
          <w:lang w:val="en-US" w:eastAsia="zh-CN"/>
        </w:rPr>
        <w:t>Proposal 3: The minimum AS layer memory size for training data logging is 64KB, which is the same as the existing logged MDT and QoE measurement.</w:t>
      </w:r>
    </w:p>
    <w:p w14:paraId="68CEA9C1">
      <w:pPr>
        <w:numPr>
          <w:ilvl w:val="0"/>
          <w:numId w:val="0"/>
        </w:numPr>
        <w:spacing w:before="120" w:beforeLines="50" w:after="120" w:line="260" w:lineRule="exact"/>
        <w:rPr>
          <w:rFonts w:hint="default" w:ascii="Arial" w:hAnsi="Arial" w:cs="Arial"/>
          <w:sz w:val="20"/>
          <w:szCs w:val="20"/>
          <w:lang w:val="en-US" w:eastAsia="zh-CN"/>
        </w:rPr>
      </w:pPr>
    </w:p>
    <w:p w14:paraId="3E39D349">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sz w:val="20"/>
          <w:szCs w:val="20"/>
          <w:lang w:val="en-US" w:eastAsia="zh-CN"/>
        </w:rPr>
      </w:pPr>
      <w:r>
        <w:rPr>
          <w:rFonts w:hint="eastAsia" w:ascii="Arial" w:hAnsi="Arial" w:cs="Arial"/>
          <w:b/>
          <w:bCs/>
          <w:i/>
          <w:iCs/>
          <w:sz w:val="20"/>
          <w:szCs w:val="20"/>
          <w:u w:val="single"/>
          <w:lang w:val="en-US" w:eastAsia="zh-CN"/>
        </w:rPr>
        <w:t>Issue#3: FFS on event based/on-demand reporting</w:t>
      </w:r>
    </w:p>
    <w:p w14:paraId="108E61BC">
      <w:pPr>
        <w:numPr>
          <w:ilvl w:val="0"/>
          <w:numId w:val="0"/>
        </w:numPr>
        <w:spacing w:before="120" w:beforeLines="50" w:after="120" w:line="260" w:lineRule="exact"/>
        <w:rPr>
          <w:rFonts w:hint="eastAsia" w:eastAsia="宋体"/>
          <w:lang w:val="en-US" w:eastAsia="zh-CN"/>
        </w:rPr>
      </w:pPr>
      <w:r>
        <w:rPr>
          <w:rFonts w:hint="eastAsia" w:ascii="Arial" w:hAnsi="Arial" w:cs="Arial"/>
          <w:sz w:val="20"/>
          <w:szCs w:val="20"/>
          <w:lang w:val="en-US" w:eastAsia="zh-CN"/>
        </w:rPr>
        <w:t>In last meeting, RAN2 agreed that m</w:t>
      </w:r>
      <w:r>
        <w:rPr>
          <w:rFonts w:hint="default" w:ascii="Arial" w:hAnsi="Arial" w:cs="Arial"/>
          <w:sz w:val="20"/>
          <w:szCs w:val="20"/>
          <w:lang w:val="en-US"/>
        </w:rPr>
        <w:t xml:space="preserve">easurements for data collection purposes and logging based can be controlled based on power state of the UE. It is up to UE implementation how the UE determines power state.  FFS whether the UE stops autonomously or if </w:t>
      </w:r>
      <w:r>
        <w:rPr>
          <w:rFonts w:hint="default" w:ascii="Arial" w:hAnsi="Arial" w:cs="Arial"/>
          <w:sz w:val="20"/>
          <w:szCs w:val="20"/>
          <w:highlight w:val="none"/>
          <w:lang w:val="en-US"/>
        </w:rPr>
        <w:t>it reports to the network</w:t>
      </w:r>
      <w:r>
        <w:rPr>
          <w:rFonts w:hint="default" w:ascii="Arial" w:hAnsi="Arial" w:cs="Arial"/>
          <w:sz w:val="20"/>
          <w:szCs w:val="20"/>
          <w:lang w:val="en-US"/>
        </w:rPr>
        <w:t xml:space="preserve">. </w:t>
      </w:r>
    </w:p>
    <w:p w14:paraId="2E94E07D">
      <w:pPr>
        <w:numPr>
          <w:ilvl w:val="0"/>
          <w:numId w:val="0"/>
        </w:numPr>
        <w:spacing w:before="120" w:beforeLines="50" w:after="120" w:line="260" w:lineRule="exact"/>
        <w:rPr>
          <w:rFonts w:hint="eastAsia" w:ascii="Arial" w:hAnsi="Arial" w:cs="Arial"/>
          <w:sz w:val="20"/>
          <w:szCs w:val="20"/>
          <w:lang w:val="en-US" w:eastAsia="zh-CN"/>
        </w:rPr>
      </w:pPr>
      <w:r>
        <w:rPr>
          <w:rFonts w:hint="eastAsia" w:ascii="Arial" w:hAnsi="Arial" w:cs="Arial"/>
          <w:sz w:val="20"/>
          <w:szCs w:val="20"/>
          <w:lang w:val="en-US" w:eastAsia="zh-CN"/>
        </w:rPr>
        <w:t xml:space="preserve">In legacy logged MDT, when UE reaches its buffer limitation the UE stops measurement for data collection purposes and logging. If the power state of the UE is low, we think that the UE can stop autonomously, but it needs to report to the network, otherwise, there is misunderstanding between UE and NW. </w:t>
      </w:r>
    </w:p>
    <w:p w14:paraId="63A23566">
      <w:pPr>
        <w:numPr>
          <w:ilvl w:val="0"/>
          <w:numId w:val="0"/>
        </w:numPr>
        <w:spacing w:before="120" w:beforeLines="50" w:after="120" w:line="260" w:lineRule="exact"/>
        <w:rPr>
          <w:rFonts w:hint="default" w:ascii="Arial" w:hAnsi="Arial" w:cs="Arial"/>
          <w:b/>
          <w:bCs/>
          <w:sz w:val="20"/>
          <w:szCs w:val="20"/>
          <w:lang w:val="en-US" w:eastAsia="zh-CN"/>
        </w:rPr>
      </w:pPr>
      <w:r>
        <w:rPr>
          <w:rFonts w:hint="eastAsia" w:ascii="Arial" w:hAnsi="Arial" w:cs="Arial"/>
          <w:b/>
          <w:bCs/>
          <w:sz w:val="20"/>
          <w:szCs w:val="20"/>
          <w:lang w:val="en-US" w:eastAsia="zh-CN"/>
        </w:rPr>
        <w:t>Proposal 4: If the power state of the UE is low, the UE can stop measurement autonomously.</w:t>
      </w:r>
    </w:p>
    <w:p w14:paraId="4F3CFD29">
      <w:pPr>
        <w:numPr>
          <w:ilvl w:val="0"/>
          <w:numId w:val="0"/>
        </w:numPr>
        <w:spacing w:before="120" w:beforeLines="50" w:after="120" w:line="260" w:lineRule="exact"/>
        <w:rPr>
          <w:rFonts w:hint="eastAsia" w:ascii="Arial" w:hAnsi="Arial" w:cs="Arial"/>
          <w:sz w:val="20"/>
          <w:szCs w:val="20"/>
          <w:lang w:val="en-US" w:eastAsia="zh-CN"/>
        </w:rPr>
      </w:pPr>
      <w:r>
        <w:rPr>
          <w:rFonts w:hint="eastAsia" w:ascii="Arial" w:hAnsi="Arial" w:cs="Arial"/>
          <w:sz w:val="20"/>
          <w:szCs w:val="20"/>
          <w:lang w:val="en-US" w:eastAsia="zh-CN"/>
        </w:rPr>
        <w:t xml:space="preserve">In legacy logged MDT mechanism, the UE sends </w:t>
      </w:r>
      <w:r>
        <w:rPr>
          <w:rFonts w:hint="default" w:ascii="Arial" w:hAnsi="Arial" w:cs="Arial"/>
          <w:sz w:val="20"/>
          <w:szCs w:val="20"/>
          <w:lang w:val="en-US"/>
        </w:rPr>
        <w:t xml:space="preserve">availability </w:t>
      </w:r>
      <w:r>
        <w:rPr>
          <w:rFonts w:hint="eastAsia" w:ascii="Arial" w:hAnsi="Arial" w:cs="Arial"/>
          <w:sz w:val="20"/>
          <w:szCs w:val="20"/>
          <w:lang w:val="en-US" w:eastAsia="zh-CN"/>
        </w:rPr>
        <w:t>indication to the network, and the network may decide to retrieve the logged measurements based on this indication vi</w:t>
      </w:r>
      <w:r>
        <w:rPr>
          <w:rFonts w:hint="eastAsia" w:ascii="Arial" w:hAnsi="Arial" w:cs="Arial"/>
          <w:i w:val="0"/>
          <w:iCs w:val="0"/>
          <w:sz w:val="20"/>
          <w:szCs w:val="20"/>
          <w:lang w:val="en-US" w:eastAsia="zh-CN"/>
        </w:rPr>
        <w:t>a UE Information procedure</w:t>
      </w:r>
      <w:r>
        <w:rPr>
          <w:rFonts w:hint="eastAsia" w:ascii="Arial" w:hAnsi="Arial" w:cs="Arial"/>
          <w:sz w:val="20"/>
          <w:szCs w:val="20"/>
          <w:lang w:val="en-US" w:eastAsia="zh-CN"/>
        </w:rPr>
        <w:t>.</w:t>
      </w:r>
    </w:p>
    <w:p w14:paraId="4E1706D4">
      <w:pPr>
        <w:numPr>
          <w:ilvl w:val="0"/>
          <w:numId w:val="0"/>
        </w:numPr>
        <w:spacing w:before="120" w:beforeLines="50" w:after="120" w:line="240" w:lineRule="auto"/>
        <w:jc w:val="center"/>
      </w:pPr>
      <w:r>
        <w:drawing>
          <wp:inline distT="0" distB="0" distL="114300" distR="114300">
            <wp:extent cx="3305810" cy="1276350"/>
            <wp:effectExtent l="0" t="0" r="889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4"/>
                    <a:stretch>
                      <a:fillRect/>
                    </a:stretch>
                  </pic:blipFill>
                  <pic:spPr>
                    <a:xfrm>
                      <a:off x="0" y="0"/>
                      <a:ext cx="3305810" cy="1276350"/>
                    </a:xfrm>
                    <a:prstGeom prst="rect">
                      <a:avLst/>
                    </a:prstGeom>
                    <a:noFill/>
                    <a:ln>
                      <a:noFill/>
                    </a:ln>
                  </pic:spPr>
                </pic:pic>
              </a:graphicData>
            </a:graphic>
          </wp:inline>
        </w:drawing>
      </w:r>
    </w:p>
    <w:p w14:paraId="3D3FB9F7">
      <w:pPr>
        <w:numPr>
          <w:ilvl w:val="0"/>
          <w:numId w:val="0"/>
        </w:numPr>
        <w:spacing w:before="120" w:beforeLines="50" w:after="120" w:line="240" w:lineRule="auto"/>
        <w:jc w:val="center"/>
        <w:rPr>
          <w:rFonts w:hint="default" w:ascii="Arial" w:hAnsi="Arial" w:cs="Arial"/>
          <w:sz w:val="20"/>
          <w:szCs w:val="21"/>
          <w:lang w:val="en-US" w:eastAsia="zh-CN"/>
        </w:rPr>
      </w:pPr>
      <w:r>
        <w:rPr>
          <w:rFonts w:hint="default" w:ascii="Arial" w:hAnsi="Arial" w:cs="Arial"/>
          <w:sz w:val="20"/>
          <w:szCs w:val="21"/>
          <w:lang w:val="en-US" w:eastAsia="zh-CN"/>
        </w:rPr>
        <w:t>Figure 1. UE information procedure</w:t>
      </w:r>
    </w:p>
    <w:p w14:paraId="11B86628">
      <w:pPr>
        <w:numPr>
          <w:ilvl w:val="0"/>
          <w:numId w:val="0"/>
        </w:numPr>
        <w:spacing w:before="120" w:beforeLines="50" w:after="120" w:line="260" w:lineRule="exact"/>
        <w:rPr>
          <w:rFonts w:hint="default" w:ascii="Arial" w:hAnsi="Arial" w:cs="Arial"/>
          <w:sz w:val="20"/>
          <w:szCs w:val="20"/>
          <w:lang w:val="en-US" w:eastAsia="zh-CN"/>
        </w:rPr>
      </w:pPr>
      <w:r>
        <w:rPr>
          <w:rFonts w:hint="eastAsia" w:ascii="Arial" w:hAnsi="Arial" w:cs="Arial"/>
          <w:sz w:val="20"/>
          <w:szCs w:val="20"/>
          <w:lang w:val="en-US" w:eastAsia="zh-CN"/>
        </w:rPr>
        <w:t>RAN2 has agreed to support the periodical reporting and on-demand reporting, but has no consensus on event based reporting. In our understanding, when the event is satisfied if event based reporting is supported, the UE will send BSR to the network for UL transmission scheduling. However, the network cannot be aware that the data is for training which is usually not urgent, and the transmission of logged data may cause congestion in the network. If the availability indicator for both AS full buffer and low power state is introduced to indicate the availability of logged data for training, the network could know the logging in UE side is stopped and determine when to request the data considering the current channel condition which can improve the flexibility of network scheduling.</w:t>
      </w:r>
    </w:p>
    <w:p w14:paraId="6D3AFEC9">
      <w:pPr>
        <w:numPr>
          <w:ilvl w:val="0"/>
          <w:numId w:val="0"/>
        </w:numPr>
        <w:spacing w:before="120" w:beforeLines="50" w:after="120" w:line="260" w:lineRule="exact"/>
        <w:rPr>
          <w:rFonts w:hint="default" w:ascii="Arial" w:hAnsi="Arial" w:cs="Arial" w:eastAsiaTheme="minorEastAsia"/>
          <w:sz w:val="20"/>
          <w:szCs w:val="20"/>
          <w:lang w:val="en-US" w:eastAsia="zh-CN"/>
        </w:rPr>
      </w:pPr>
      <w:r>
        <w:rPr>
          <w:rFonts w:hint="eastAsia" w:ascii="Arial" w:hAnsi="Arial" w:cs="Arial"/>
          <w:sz w:val="20"/>
          <w:szCs w:val="20"/>
          <w:lang w:val="en-US" w:eastAsia="zh-CN"/>
        </w:rPr>
        <w:t xml:space="preserve">Therefore, we think it is no need to introduce event based reporting, e.g. </w:t>
      </w:r>
      <w:r>
        <w:rPr>
          <w:rFonts w:hint="default" w:ascii="Arial" w:hAnsi="Arial" w:cs="Arial"/>
          <w:sz w:val="20"/>
          <w:szCs w:val="20"/>
          <w:lang w:val="en-US"/>
        </w:rPr>
        <w:t>AS buffer</w:t>
      </w:r>
      <w:r>
        <w:rPr>
          <w:rFonts w:hint="eastAsia" w:ascii="Arial" w:hAnsi="Arial" w:cs="Arial"/>
          <w:sz w:val="20"/>
          <w:szCs w:val="20"/>
          <w:lang w:val="en-US" w:eastAsia="zh-CN"/>
        </w:rPr>
        <w:t>, power state</w:t>
      </w:r>
      <w:r>
        <w:rPr>
          <w:rFonts w:hint="default" w:ascii="Arial" w:hAnsi="Arial" w:cs="Arial"/>
          <w:sz w:val="20"/>
          <w:szCs w:val="20"/>
          <w:lang w:val="en-US"/>
        </w:rPr>
        <w:t xml:space="preserve"> event based reporting. </w:t>
      </w:r>
      <w:r>
        <w:rPr>
          <w:rFonts w:hint="eastAsia" w:ascii="Arial" w:hAnsi="Arial" w:cs="Arial"/>
          <w:sz w:val="20"/>
          <w:szCs w:val="20"/>
          <w:lang w:val="en-US" w:eastAsia="zh-CN"/>
        </w:rPr>
        <w:t xml:space="preserve">We support to use the availability indicator to indicate the availability of logged data for training, e.g. when the AS buffer is full or the power state is low. </w:t>
      </w:r>
    </w:p>
    <w:p w14:paraId="6761A15D">
      <w:pPr>
        <w:numPr>
          <w:ilvl w:val="0"/>
          <w:numId w:val="0"/>
        </w:numPr>
        <w:spacing w:before="120" w:beforeLines="50" w:after="120" w:line="260" w:lineRule="exact"/>
        <w:rPr>
          <w:rFonts w:hint="default" w:ascii="Arial" w:hAnsi="Arial" w:cs="Arial"/>
          <w:b/>
          <w:bCs/>
          <w:sz w:val="20"/>
          <w:szCs w:val="20"/>
          <w:lang w:val="en-US" w:eastAsia="zh-CN"/>
        </w:rPr>
      </w:pPr>
      <w:r>
        <w:rPr>
          <w:rFonts w:hint="eastAsia" w:ascii="Arial" w:hAnsi="Arial" w:cs="Arial"/>
          <w:b/>
          <w:bCs/>
          <w:sz w:val="20"/>
          <w:szCs w:val="20"/>
          <w:lang w:val="en-US" w:eastAsia="zh-CN"/>
        </w:rPr>
        <w:t>Proposal 5: Event based reporting is not supported.</w:t>
      </w:r>
    </w:p>
    <w:p w14:paraId="075DFED6">
      <w:pPr>
        <w:numPr>
          <w:ilvl w:val="0"/>
          <w:numId w:val="0"/>
        </w:numPr>
        <w:spacing w:before="120" w:beforeLines="50" w:after="120" w:line="260" w:lineRule="exact"/>
        <w:rPr>
          <w:rFonts w:hint="default" w:ascii="Arial" w:hAnsi="Arial" w:cs="Arial"/>
          <w:b/>
          <w:bCs/>
          <w:sz w:val="20"/>
          <w:szCs w:val="20"/>
          <w:lang w:val="en-US" w:eastAsia="zh-CN"/>
        </w:rPr>
      </w:pPr>
      <w:r>
        <w:rPr>
          <w:rFonts w:hint="eastAsia" w:ascii="Arial" w:hAnsi="Arial" w:cs="Arial"/>
          <w:b/>
          <w:bCs/>
          <w:sz w:val="20"/>
          <w:szCs w:val="20"/>
          <w:lang w:val="en-US" w:eastAsia="zh-CN"/>
        </w:rPr>
        <w:t>Proposal 6: Introduce availability indicator to indicate the availability of logged data for training, e.g. when the AS buffer is full or the power state is low.</w:t>
      </w:r>
    </w:p>
    <w:p w14:paraId="38A636A9">
      <w:pPr>
        <w:numPr>
          <w:ilvl w:val="0"/>
          <w:numId w:val="0"/>
        </w:numPr>
        <w:spacing w:before="120" w:beforeLines="50" w:after="120" w:line="260" w:lineRule="exact"/>
        <w:rPr>
          <w:rFonts w:hint="default" w:ascii="Arial" w:hAnsi="Arial" w:eastAsia="宋体" w:cs="Arial"/>
          <w:b/>
          <w:bCs/>
          <w:sz w:val="20"/>
          <w:szCs w:val="20"/>
          <w:lang w:val="en-US" w:eastAsia="zh-CN"/>
        </w:rPr>
      </w:pPr>
    </w:p>
    <w:p w14:paraId="58C69635">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sz w:val="20"/>
          <w:szCs w:val="20"/>
          <w:lang w:val="en-US" w:eastAsia="zh-CN"/>
        </w:rPr>
      </w:pPr>
      <w:r>
        <w:rPr>
          <w:rFonts w:hint="eastAsia" w:ascii="Arial" w:hAnsi="Arial" w:cs="Arial"/>
          <w:b/>
          <w:bCs/>
          <w:i/>
          <w:iCs/>
          <w:sz w:val="20"/>
          <w:szCs w:val="20"/>
          <w:u w:val="single"/>
          <w:lang w:val="en-US" w:eastAsia="zh-CN"/>
        </w:rPr>
        <w:t>Issue#4: FFS on o</w:t>
      </w:r>
      <w:r>
        <w:rPr>
          <w:rFonts w:hint="default" w:ascii="Arial" w:hAnsi="Arial" w:cs="Arial"/>
          <w:b/>
          <w:bCs/>
          <w:i/>
          <w:iCs/>
          <w:sz w:val="20"/>
          <w:szCs w:val="20"/>
          <w:u w:val="single"/>
          <w:lang w:val="en-US" w:eastAsia="zh-CN"/>
        </w:rPr>
        <w:t>n-demand request from</w:t>
      </w:r>
      <w:r>
        <w:rPr>
          <w:rFonts w:hint="eastAsia" w:ascii="Arial" w:hAnsi="Arial" w:cs="Arial"/>
          <w:b/>
          <w:bCs/>
          <w:i/>
          <w:iCs/>
          <w:sz w:val="20"/>
          <w:szCs w:val="20"/>
          <w:u w:val="single"/>
          <w:lang w:val="en-US" w:eastAsia="zh-CN"/>
        </w:rPr>
        <w:t xml:space="preserve"> NW</w:t>
      </w:r>
    </w:p>
    <w:p w14:paraId="559D4F86">
      <w:pPr>
        <w:numPr>
          <w:ilvl w:val="0"/>
          <w:numId w:val="0"/>
        </w:numPr>
        <w:spacing w:before="120" w:beforeLines="50" w:after="120" w:line="260" w:lineRule="exact"/>
        <w:rPr>
          <w:rFonts w:hint="default" w:ascii="Arial" w:hAnsi="Arial" w:cs="Arial"/>
          <w:sz w:val="20"/>
          <w:szCs w:val="20"/>
          <w:lang w:val="en-US" w:eastAsia="zh-CN"/>
        </w:rPr>
      </w:pPr>
      <w:r>
        <w:rPr>
          <w:rFonts w:hint="eastAsia" w:ascii="Arial" w:hAnsi="Arial" w:cs="Arial"/>
          <w:sz w:val="20"/>
          <w:szCs w:val="20"/>
          <w:lang w:val="en-US" w:eastAsia="zh-CN"/>
        </w:rPr>
        <w:t>In our understanding, on-demand request from the network means that the network can request the UE to report collected data at any time which is up to network implementation. And this is not associated with the availability indicator. The legacy UE information procedure can be reused for on-demand request from the network.</w:t>
      </w:r>
    </w:p>
    <w:p w14:paraId="6FB9821B">
      <w:pPr>
        <w:numPr>
          <w:ilvl w:val="0"/>
          <w:numId w:val="0"/>
        </w:numPr>
        <w:spacing w:before="120" w:beforeLines="50" w:after="120" w:line="260" w:lineRule="exact"/>
        <w:rPr>
          <w:rFonts w:hint="default" w:ascii="Arial" w:hAnsi="Arial" w:cs="Arial"/>
          <w:b/>
          <w:bCs/>
          <w:sz w:val="20"/>
          <w:szCs w:val="20"/>
          <w:lang w:val="en-US" w:eastAsia="zh-CN"/>
        </w:rPr>
      </w:pPr>
      <w:r>
        <w:rPr>
          <w:rFonts w:hint="eastAsia" w:ascii="Arial" w:hAnsi="Arial" w:cs="Arial"/>
          <w:b/>
          <w:bCs/>
          <w:sz w:val="20"/>
          <w:szCs w:val="20"/>
          <w:lang w:val="en-US" w:eastAsia="zh-CN"/>
        </w:rPr>
        <w:t xml:space="preserve">Proposal 7: The legacy </w:t>
      </w:r>
      <w:r>
        <w:rPr>
          <w:rFonts w:hint="eastAsia" w:ascii="Arial" w:hAnsi="Arial" w:cs="Arial"/>
          <w:b/>
          <w:bCs/>
          <w:i/>
          <w:iCs/>
          <w:sz w:val="20"/>
          <w:szCs w:val="20"/>
          <w:lang w:val="en-US" w:eastAsia="zh-CN"/>
        </w:rPr>
        <w:t>UEInformationRequest/UEInformationResponse</w:t>
      </w:r>
      <w:r>
        <w:rPr>
          <w:rFonts w:hint="eastAsia" w:ascii="Arial" w:hAnsi="Arial" w:cs="Arial"/>
          <w:b/>
          <w:bCs/>
          <w:sz w:val="20"/>
          <w:szCs w:val="20"/>
          <w:lang w:val="en-US" w:eastAsia="zh-CN"/>
        </w:rPr>
        <w:t xml:space="preserve"> message can be reused for on-demand request from the network.</w:t>
      </w:r>
    </w:p>
    <w:p w14:paraId="243D9472">
      <w:pPr>
        <w:numPr>
          <w:ilvl w:val="0"/>
          <w:numId w:val="0"/>
        </w:numPr>
        <w:spacing w:before="120" w:beforeLines="50" w:after="120" w:line="260" w:lineRule="exact"/>
        <w:rPr>
          <w:rFonts w:hint="default" w:ascii="Arial" w:hAnsi="Arial" w:cs="Arial"/>
          <w:sz w:val="20"/>
          <w:szCs w:val="20"/>
          <w:lang w:val="en-US" w:eastAsia="zh-CN"/>
        </w:rPr>
      </w:pPr>
    </w:p>
    <w:p w14:paraId="63C5A26E">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sz w:val="20"/>
          <w:szCs w:val="20"/>
          <w:lang w:val="en-US" w:eastAsia="zh-CN"/>
        </w:rPr>
      </w:pPr>
      <w:r>
        <w:rPr>
          <w:rFonts w:hint="eastAsia" w:ascii="Arial" w:hAnsi="Arial" w:cs="Arial"/>
          <w:b/>
          <w:bCs/>
          <w:i/>
          <w:iCs/>
          <w:sz w:val="20"/>
          <w:szCs w:val="20"/>
          <w:u w:val="single"/>
          <w:lang w:val="en-US" w:eastAsia="zh-CN"/>
        </w:rPr>
        <w:t>Issue#5: FFS on SRB</w:t>
      </w:r>
    </w:p>
    <w:p w14:paraId="72A87EA5">
      <w:pPr>
        <w:numPr>
          <w:ilvl w:val="0"/>
          <w:numId w:val="0"/>
        </w:numPr>
        <w:spacing w:before="120" w:beforeLines="50" w:after="120" w:line="260" w:lineRule="exact"/>
        <w:rPr>
          <w:rFonts w:hint="default" w:ascii="Arial" w:hAnsi="Arial" w:cs="Arial"/>
          <w:sz w:val="20"/>
          <w:szCs w:val="20"/>
          <w:lang w:val="en-US" w:eastAsia="zh-CN"/>
        </w:rPr>
      </w:pPr>
      <w:r>
        <w:rPr>
          <w:rFonts w:hint="eastAsia" w:ascii="Arial" w:hAnsi="Arial" w:cs="Arial"/>
          <w:sz w:val="20"/>
          <w:szCs w:val="20"/>
          <w:lang w:val="en-US" w:eastAsia="zh-CN"/>
        </w:rPr>
        <w:t xml:space="preserve">For NW side data collection, the data for training is not urgent, thus there is no need to use the high priority SRB for transmission. As specified in TS 38.331[3], logged MDT measurements are sent on SRB2 in RRC_CONNECTED state. In last meeting, some companies proposed to use lower priority SRB to transmit the logged data. However, we also think that periodic reporting is useless if the low priority SRB is used. Therefore, we prefer to reuse SRB2 to send the logged data for training. </w:t>
      </w:r>
    </w:p>
    <w:p w14:paraId="260BC934">
      <w:pPr>
        <w:numPr>
          <w:ilvl w:val="0"/>
          <w:numId w:val="0"/>
        </w:numPr>
        <w:spacing w:before="120" w:beforeLines="50" w:after="120" w:line="240" w:lineRule="auto"/>
        <w:jc w:val="both"/>
        <w:rPr>
          <w:rFonts w:hint="eastAsia" w:ascii="Arial" w:hAnsi="Arial" w:eastAsia="宋体" w:cs="Arial"/>
          <w:b/>
          <w:bCs/>
          <w:sz w:val="20"/>
          <w:szCs w:val="20"/>
          <w:lang w:val="en-US" w:eastAsia="zh-CN"/>
        </w:rPr>
      </w:pPr>
      <w:r>
        <w:rPr>
          <w:rFonts w:hint="eastAsia" w:ascii="Arial" w:hAnsi="Arial" w:eastAsia="宋体" w:cs="Arial"/>
          <w:b/>
          <w:bCs/>
          <w:sz w:val="20"/>
          <w:szCs w:val="20"/>
          <w:lang w:val="en-US" w:eastAsia="zh-CN"/>
        </w:rPr>
        <w:t>Proposal 8: SRB2 is used to transmit the logged data for training.</w:t>
      </w:r>
    </w:p>
    <w:p w14:paraId="6F264246">
      <w:pPr>
        <w:numPr>
          <w:ilvl w:val="0"/>
          <w:numId w:val="0"/>
        </w:numPr>
        <w:spacing w:before="120" w:beforeLines="50" w:after="120" w:line="240" w:lineRule="auto"/>
        <w:jc w:val="both"/>
        <w:rPr>
          <w:rFonts w:hint="default" w:ascii="Arial" w:hAnsi="Arial" w:eastAsia="宋体" w:cs="Arial"/>
          <w:b/>
          <w:bCs/>
          <w:sz w:val="20"/>
          <w:szCs w:val="20"/>
          <w:lang w:val="en-US" w:eastAsia="zh-CN"/>
        </w:rPr>
      </w:pPr>
    </w:p>
    <w:p w14:paraId="520E30A9">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sz w:val="20"/>
          <w:szCs w:val="20"/>
          <w:lang w:val="en-US" w:eastAsia="zh-CN"/>
        </w:rPr>
      </w:pPr>
      <w:r>
        <w:rPr>
          <w:rFonts w:hint="eastAsia" w:ascii="Arial" w:hAnsi="Arial" w:cs="Arial"/>
          <w:b/>
          <w:bCs/>
          <w:i/>
          <w:iCs/>
          <w:sz w:val="20"/>
          <w:szCs w:val="20"/>
          <w:u w:val="single"/>
          <w:lang w:val="en-US" w:eastAsia="zh-CN"/>
        </w:rPr>
        <w:t>Issue#6: FFS on logged time</w:t>
      </w:r>
    </w:p>
    <w:p w14:paraId="120AFF1E">
      <w:pPr>
        <w:numPr>
          <w:ilvl w:val="0"/>
          <w:numId w:val="0"/>
        </w:numPr>
        <w:spacing w:before="120" w:beforeLines="50" w:after="120" w:line="260" w:lineRule="exact"/>
        <w:rPr>
          <w:rFonts w:hint="eastAsia" w:ascii="Arial" w:hAnsi="Arial" w:cs="Arial"/>
          <w:i w:val="0"/>
          <w:iCs w:val="0"/>
          <w:sz w:val="20"/>
          <w:szCs w:val="20"/>
          <w:lang w:val="en-US" w:eastAsia="zh-CN"/>
        </w:rPr>
      </w:pPr>
      <w:r>
        <w:rPr>
          <w:rFonts w:hint="eastAsia" w:ascii="Arial" w:hAnsi="Arial" w:cs="Arial"/>
          <w:sz w:val="20"/>
          <w:szCs w:val="20"/>
          <w:lang w:val="en-US" w:eastAsia="zh-CN"/>
        </w:rPr>
        <w:t xml:space="preserve">In legacy logged MDT, the </w:t>
      </w:r>
      <w:r>
        <w:rPr>
          <w:rFonts w:hint="eastAsia" w:ascii="Arial" w:hAnsi="Arial" w:cs="Arial"/>
          <w:i/>
          <w:iCs/>
          <w:sz w:val="20"/>
          <w:szCs w:val="20"/>
          <w:lang w:val="en-US" w:eastAsia="zh-CN"/>
        </w:rPr>
        <w:t xml:space="preserve">LoggingDuration </w:t>
      </w:r>
      <w:r>
        <w:rPr>
          <w:rFonts w:hint="eastAsia" w:ascii="Arial" w:hAnsi="Arial" w:cs="Arial"/>
          <w:sz w:val="20"/>
          <w:szCs w:val="20"/>
          <w:lang w:val="en-US" w:eastAsia="zh-CN"/>
        </w:rPr>
        <w:t xml:space="preserve">and </w:t>
      </w:r>
      <w:r>
        <w:rPr>
          <w:rFonts w:hint="eastAsia" w:ascii="Arial" w:hAnsi="Arial" w:cs="Arial"/>
          <w:i/>
          <w:iCs/>
          <w:sz w:val="20"/>
          <w:szCs w:val="20"/>
          <w:lang w:val="en-US" w:eastAsia="zh-CN"/>
        </w:rPr>
        <w:t>LoggingInterval</w:t>
      </w:r>
      <w:r>
        <w:rPr>
          <w:rFonts w:hint="eastAsia" w:ascii="Arial" w:hAnsi="Arial" w:cs="Arial"/>
          <w:sz w:val="20"/>
          <w:szCs w:val="20"/>
          <w:lang w:val="en-US" w:eastAsia="zh-CN"/>
        </w:rPr>
        <w:t xml:space="preserve"> will be provided to the UE, where </w:t>
      </w:r>
      <w:r>
        <w:rPr>
          <w:rFonts w:hint="eastAsia" w:ascii="Arial" w:hAnsi="Arial" w:cs="Arial"/>
          <w:i/>
          <w:iCs/>
          <w:sz w:val="20"/>
          <w:szCs w:val="20"/>
          <w:lang w:val="en-US" w:eastAsia="zh-CN"/>
        </w:rPr>
        <w:t xml:space="preserve">LoggingDuration </w:t>
      </w:r>
      <w:r>
        <w:rPr>
          <w:rFonts w:hint="eastAsia" w:ascii="Arial" w:hAnsi="Arial" w:cs="Arial"/>
          <w:i w:val="0"/>
          <w:iCs w:val="0"/>
          <w:sz w:val="20"/>
          <w:szCs w:val="20"/>
          <w:lang w:val="en-US" w:eastAsia="zh-CN"/>
        </w:rPr>
        <w:t xml:space="preserve">indicates the duration for which UE is requested to perform measurement logging, and </w:t>
      </w:r>
      <w:r>
        <w:rPr>
          <w:rFonts w:hint="eastAsia" w:ascii="Arial" w:hAnsi="Arial" w:cs="Arial"/>
          <w:i/>
          <w:iCs/>
          <w:sz w:val="20"/>
          <w:szCs w:val="20"/>
          <w:lang w:val="en-US" w:eastAsia="zh-CN"/>
        </w:rPr>
        <w:t xml:space="preserve">LoggingInterval </w:t>
      </w:r>
      <w:r>
        <w:rPr>
          <w:rFonts w:hint="eastAsia" w:ascii="Arial" w:hAnsi="Arial" w:cs="Arial"/>
          <w:i w:val="0"/>
          <w:iCs w:val="0"/>
          <w:sz w:val="20"/>
          <w:szCs w:val="20"/>
          <w:lang w:val="en-US" w:eastAsia="zh-CN"/>
        </w:rPr>
        <w:t xml:space="preserve">indicates the periodicity for logging measurement results. </w:t>
      </w:r>
    </w:p>
    <w:p w14:paraId="4A269A5C">
      <w:pPr>
        <w:numPr>
          <w:ilvl w:val="0"/>
          <w:numId w:val="0"/>
        </w:numPr>
        <w:spacing w:before="120" w:beforeLines="50" w:after="120" w:line="260" w:lineRule="exact"/>
        <w:rPr>
          <w:rFonts w:hint="default" w:ascii="Arial" w:hAnsi="Arial" w:cs="Arial"/>
          <w:i w:val="0"/>
          <w:iCs w:val="0"/>
          <w:sz w:val="20"/>
          <w:szCs w:val="20"/>
          <w:lang w:val="en-US" w:eastAsia="zh-CN"/>
        </w:rPr>
      </w:pPr>
      <w:r>
        <w:rPr>
          <w:rFonts w:hint="eastAsia" w:ascii="Arial" w:hAnsi="Arial" w:cs="Arial"/>
          <w:i w:val="0"/>
          <w:iCs w:val="0"/>
          <w:sz w:val="20"/>
          <w:szCs w:val="20"/>
          <w:lang w:val="en-US" w:eastAsia="zh-CN"/>
        </w:rPr>
        <w:t>In previous meeting, RAN2 agreed the periodical reporting for NW side data collection. Therefore, we understand that there can be multiple reports within the logged duration, and each report can include multiple logged L1 measurements. For example, the logging interval is 80ms, the reporting period is 240ms which includes 3 logged measurement results, and the logged duration is 960ms which includes 4 reports.</w:t>
      </w:r>
    </w:p>
    <w:p w14:paraId="7302561F">
      <w:pPr>
        <w:numPr>
          <w:ilvl w:val="0"/>
          <w:numId w:val="0"/>
        </w:numPr>
        <w:spacing w:before="120" w:beforeLines="50" w:after="120" w:line="240" w:lineRule="auto"/>
        <w:jc w:val="center"/>
      </w:pPr>
      <w:r>
        <w:drawing>
          <wp:inline distT="0" distB="0" distL="114300" distR="114300">
            <wp:extent cx="4307840" cy="1847215"/>
            <wp:effectExtent l="0" t="0" r="6985" b="635"/>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5"/>
                    <a:stretch>
                      <a:fillRect/>
                    </a:stretch>
                  </pic:blipFill>
                  <pic:spPr>
                    <a:xfrm>
                      <a:off x="0" y="0"/>
                      <a:ext cx="4307840" cy="1847215"/>
                    </a:xfrm>
                    <a:prstGeom prst="rect">
                      <a:avLst/>
                    </a:prstGeom>
                    <a:noFill/>
                    <a:ln>
                      <a:noFill/>
                    </a:ln>
                  </pic:spPr>
                </pic:pic>
              </a:graphicData>
            </a:graphic>
          </wp:inline>
        </w:drawing>
      </w:r>
    </w:p>
    <w:p w14:paraId="27C8EE86">
      <w:pPr>
        <w:numPr>
          <w:ilvl w:val="0"/>
          <w:numId w:val="0"/>
        </w:numPr>
        <w:spacing w:before="120" w:beforeLines="50" w:after="120" w:line="240" w:lineRule="auto"/>
        <w:jc w:val="center"/>
        <w:rPr>
          <w:rFonts w:hint="default" w:ascii="Arial" w:hAnsi="Arial" w:cs="Arial"/>
          <w:sz w:val="20"/>
          <w:szCs w:val="21"/>
          <w:lang w:val="en-US" w:eastAsia="zh-CN"/>
        </w:rPr>
      </w:pPr>
      <w:r>
        <w:rPr>
          <w:rFonts w:hint="default" w:ascii="Arial" w:hAnsi="Arial" w:cs="Arial"/>
          <w:sz w:val="20"/>
          <w:szCs w:val="21"/>
          <w:lang w:val="en-US" w:eastAsia="zh-CN"/>
        </w:rPr>
        <w:t xml:space="preserve">Figure </w:t>
      </w:r>
      <w:r>
        <w:rPr>
          <w:rFonts w:hint="eastAsia" w:ascii="Arial" w:hAnsi="Arial" w:cs="Arial"/>
          <w:sz w:val="20"/>
          <w:szCs w:val="21"/>
          <w:lang w:val="en-US" w:eastAsia="zh-CN"/>
        </w:rPr>
        <w:t>2</w:t>
      </w:r>
      <w:r>
        <w:rPr>
          <w:rFonts w:hint="default" w:ascii="Arial" w:hAnsi="Arial" w:cs="Arial"/>
          <w:sz w:val="20"/>
          <w:szCs w:val="21"/>
          <w:lang w:val="en-US" w:eastAsia="zh-CN"/>
        </w:rPr>
        <w:t xml:space="preserve">. </w:t>
      </w:r>
      <w:r>
        <w:rPr>
          <w:rFonts w:hint="eastAsia" w:ascii="Arial" w:hAnsi="Arial" w:cs="Arial"/>
          <w:sz w:val="20"/>
          <w:szCs w:val="21"/>
          <w:lang w:val="en-US" w:eastAsia="zh-CN"/>
        </w:rPr>
        <w:t>The relationship between logging interval, reporting period and logged duration</w:t>
      </w:r>
    </w:p>
    <w:p w14:paraId="67CD179C">
      <w:pPr>
        <w:numPr>
          <w:ilvl w:val="0"/>
          <w:numId w:val="0"/>
        </w:numPr>
        <w:spacing w:before="120" w:beforeLines="50" w:after="120" w:line="260" w:lineRule="exact"/>
        <w:rPr>
          <w:rFonts w:hint="eastAsia" w:ascii="Arial" w:hAnsi="Arial" w:cs="Arial"/>
          <w:i w:val="0"/>
          <w:iCs w:val="0"/>
          <w:sz w:val="20"/>
          <w:szCs w:val="20"/>
          <w:lang w:val="en-US" w:eastAsia="zh-CN"/>
        </w:rPr>
      </w:pPr>
      <w:r>
        <w:rPr>
          <w:rFonts w:hint="eastAsia" w:ascii="Arial" w:hAnsi="Arial" w:cs="Arial"/>
          <w:i w:val="0"/>
          <w:iCs w:val="0"/>
          <w:sz w:val="20"/>
          <w:szCs w:val="20"/>
          <w:lang w:val="en-US" w:eastAsia="zh-CN"/>
        </w:rPr>
        <w:t xml:space="preserve">For temporal beam prediction, the time info is necessary for model training. In legacy logged MDT reporting, the absolute time info </w:t>
      </w:r>
      <w:r>
        <w:rPr>
          <w:rFonts w:hint="eastAsia" w:ascii="Arial" w:hAnsi="Arial" w:cs="Arial"/>
          <w:i/>
          <w:iCs/>
          <w:sz w:val="20"/>
          <w:szCs w:val="20"/>
          <w:lang w:val="en-US" w:eastAsia="zh-CN"/>
        </w:rPr>
        <w:t xml:space="preserve">absoluteTimeStamp </w:t>
      </w:r>
      <w:r>
        <w:rPr>
          <w:rFonts w:hint="eastAsia" w:ascii="Arial" w:hAnsi="Arial" w:cs="Arial"/>
          <w:i w:val="0"/>
          <w:iCs w:val="0"/>
          <w:sz w:val="20"/>
          <w:szCs w:val="20"/>
          <w:lang w:val="en-US" w:eastAsia="zh-CN"/>
        </w:rPr>
        <w:t xml:space="preserve">(48bits, as specified in [3]) when the logged measurement is provided and the relative time info </w:t>
      </w:r>
      <w:r>
        <w:rPr>
          <w:rFonts w:hint="eastAsia" w:ascii="Arial" w:hAnsi="Arial" w:cs="Arial"/>
          <w:i/>
          <w:iCs/>
          <w:sz w:val="20"/>
          <w:szCs w:val="20"/>
          <w:lang w:val="en-US" w:eastAsia="zh-CN"/>
        </w:rPr>
        <w:t xml:space="preserve">relativeTimeStamp </w:t>
      </w:r>
      <w:r>
        <w:rPr>
          <w:rFonts w:hint="eastAsia" w:ascii="Arial" w:hAnsi="Arial" w:cs="Arial"/>
          <w:i w:val="0"/>
          <w:iCs w:val="0"/>
          <w:sz w:val="20"/>
          <w:szCs w:val="20"/>
          <w:lang w:val="en-US" w:eastAsia="zh-CN"/>
        </w:rPr>
        <w:t>(as specified in [3]) which</w:t>
      </w:r>
      <w:r>
        <w:rPr>
          <w:rFonts w:hint="eastAsia" w:ascii="Arial" w:hAnsi="Arial" w:cs="Arial"/>
          <w:i/>
          <w:iCs/>
          <w:sz w:val="20"/>
          <w:szCs w:val="20"/>
          <w:lang w:val="en-US" w:eastAsia="zh-CN"/>
        </w:rPr>
        <w:t xml:space="preserve"> </w:t>
      </w:r>
      <w:r>
        <w:rPr>
          <w:rFonts w:hint="eastAsia" w:ascii="Arial" w:hAnsi="Arial" w:cs="Arial"/>
          <w:i w:val="0"/>
          <w:iCs w:val="0"/>
          <w:sz w:val="20"/>
          <w:szCs w:val="20"/>
          <w:lang w:val="en-US" w:eastAsia="zh-CN"/>
        </w:rPr>
        <w:t>indicates the time of logging measurement results would be included. The similar principle can be reused for training data reporting to reduce the signaling overhead.</w:t>
      </w:r>
    </w:p>
    <w:p w14:paraId="6B30DCFE">
      <w:pPr>
        <w:numPr>
          <w:ilvl w:val="0"/>
          <w:numId w:val="0"/>
        </w:numPr>
        <w:spacing w:before="120" w:beforeLines="50" w:after="120" w:line="260" w:lineRule="exact"/>
        <w:rPr>
          <w:rFonts w:hint="default" w:ascii="Arial" w:hAnsi="Arial" w:cs="Arial"/>
          <w:b/>
          <w:bCs/>
          <w:i w:val="0"/>
          <w:iCs w:val="0"/>
          <w:sz w:val="20"/>
          <w:szCs w:val="20"/>
          <w:lang w:val="en-US" w:eastAsia="zh-CN"/>
        </w:rPr>
      </w:pPr>
      <w:r>
        <w:rPr>
          <w:rFonts w:hint="eastAsia" w:ascii="Arial" w:hAnsi="Arial" w:cs="Arial"/>
          <w:b/>
          <w:bCs/>
          <w:i w:val="0"/>
          <w:iCs w:val="0"/>
          <w:sz w:val="20"/>
          <w:szCs w:val="20"/>
          <w:lang w:val="en-US" w:eastAsia="zh-CN"/>
        </w:rPr>
        <w:t>Proposal 9: The absolute time stamp</w:t>
      </w:r>
      <w:r>
        <w:rPr>
          <w:rFonts w:hint="eastAsia" w:ascii="Arial" w:hAnsi="Arial" w:cs="Arial"/>
          <w:b/>
          <w:bCs/>
          <w:i w:val="0"/>
          <w:iCs w:val="0"/>
          <w:sz w:val="20"/>
          <w:szCs w:val="20"/>
          <w:lang w:val="en-US" w:eastAsia="zh-CN"/>
        </w:rPr>
        <w:t xml:space="preserve"> is used to indicate the time of report, and relative time stamp</w:t>
      </w:r>
      <w:r>
        <w:rPr>
          <w:rFonts w:hint="eastAsia" w:ascii="Arial" w:hAnsi="Arial" w:cs="Arial"/>
          <w:b/>
          <w:bCs/>
          <w:i w:val="0"/>
          <w:iCs w:val="0"/>
          <w:sz w:val="20"/>
          <w:szCs w:val="20"/>
          <w:lang w:val="en-US" w:eastAsia="zh-CN"/>
        </w:rPr>
        <w:t xml:space="preserve"> is</w:t>
      </w:r>
      <w:r>
        <w:rPr>
          <w:rFonts w:hint="eastAsia" w:ascii="Arial" w:hAnsi="Arial" w:cs="Arial"/>
          <w:b/>
          <w:bCs/>
          <w:i w:val="0"/>
          <w:iCs w:val="0"/>
          <w:sz w:val="20"/>
          <w:szCs w:val="20"/>
          <w:lang w:val="en-US" w:eastAsia="zh-CN"/>
        </w:rPr>
        <w:t xml:space="preserve"> </w:t>
      </w:r>
      <w:r>
        <w:rPr>
          <w:rFonts w:hint="eastAsia" w:ascii="Arial" w:hAnsi="Arial" w:cs="Arial"/>
          <w:b/>
          <w:bCs/>
          <w:i w:val="0"/>
          <w:iCs w:val="0"/>
          <w:sz w:val="20"/>
          <w:szCs w:val="20"/>
          <w:lang w:val="en-US" w:eastAsia="zh-CN"/>
        </w:rPr>
        <w:t>used to indicate the time of logging measurement results, similar as logged MDT.</w:t>
      </w:r>
    </w:p>
    <w:p w14:paraId="058AD657">
      <w:pPr>
        <w:numPr>
          <w:ilvl w:val="0"/>
          <w:numId w:val="0"/>
        </w:numPr>
        <w:spacing w:before="120" w:beforeLines="50" w:after="120" w:line="240" w:lineRule="auto"/>
        <w:jc w:val="both"/>
        <w:rPr>
          <w:rFonts w:hint="default"/>
          <w:lang w:val="en-US" w:eastAsia="zh-CN"/>
        </w:rPr>
      </w:pPr>
      <w:r>
        <w:rPr>
          <w:rFonts w:hint="eastAsia" w:ascii="Arial" w:hAnsi="Arial" w:cs="Arial"/>
          <w:sz w:val="20"/>
          <w:szCs w:val="20"/>
          <w:lang w:val="en-US" w:eastAsia="zh-CN"/>
        </w:rPr>
        <w:t xml:space="preserve"> </w:t>
      </w:r>
    </w:p>
    <w:p w14:paraId="0B79ADBB">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eastAsia" w:ascii="Arial" w:hAnsi="Arial" w:cs="Arial"/>
          <w:b w:val="0"/>
          <w:bCs/>
          <w:sz w:val="28"/>
          <w:szCs w:val="28"/>
          <w:lang w:val="en-US" w:eastAsia="zh-CN"/>
        </w:rPr>
      </w:pPr>
      <w:r>
        <w:rPr>
          <w:rFonts w:hint="eastAsia" w:ascii="Arial" w:hAnsi="Arial" w:cs="Arial"/>
          <w:b w:val="0"/>
          <w:bCs/>
          <w:sz w:val="28"/>
          <w:szCs w:val="28"/>
          <w:lang w:val="en-US" w:eastAsia="zh-CN"/>
        </w:rPr>
        <w:t>2.2 NW side data collection for Positioning</w:t>
      </w:r>
    </w:p>
    <w:p w14:paraId="53337868">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2"/>
        <w:rPr>
          <w:rFonts w:hint="default" w:ascii="Arial" w:hAnsi="Arial" w:cs="Arial"/>
          <w:b w:val="0"/>
          <w:bCs/>
          <w:sz w:val="24"/>
          <w:szCs w:val="24"/>
          <w:lang w:val="en-US" w:eastAsia="zh-CN"/>
        </w:rPr>
      </w:pPr>
      <w:r>
        <w:rPr>
          <w:rFonts w:hint="eastAsia" w:ascii="Arial" w:hAnsi="Arial" w:cs="Arial"/>
          <w:b w:val="0"/>
          <w:bCs/>
          <w:sz w:val="24"/>
          <w:szCs w:val="24"/>
          <w:lang w:val="en-US" w:eastAsia="zh-CN"/>
        </w:rPr>
        <w:t>2.2.1 Positioning with gNB-sided model (case 3a)</w:t>
      </w:r>
    </w:p>
    <w:p w14:paraId="49E3C526">
      <w:pPr>
        <w:numPr>
          <w:ilvl w:val="0"/>
          <w:numId w:val="0"/>
        </w:numPr>
        <w:spacing w:before="120" w:beforeLines="50" w:after="120" w:line="240" w:lineRule="auto"/>
        <w:jc w:val="center"/>
      </w:pPr>
      <w:r>
        <w:drawing>
          <wp:inline distT="0" distB="0" distL="114300" distR="114300">
            <wp:extent cx="977900" cy="1581150"/>
            <wp:effectExtent l="0" t="0" r="3175"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6"/>
                    <a:srcRect l="63915" t="1274" r="18840" b="11964"/>
                    <a:stretch>
                      <a:fillRect/>
                    </a:stretch>
                  </pic:blipFill>
                  <pic:spPr>
                    <a:xfrm>
                      <a:off x="0" y="0"/>
                      <a:ext cx="977900" cy="1581150"/>
                    </a:xfrm>
                    <a:prstGeom prst="rect">
                      <a:avLst/>
                    </a:prstGeom>
                  </pic:spPr>
                </pic:pic>
              </a:graphicData>
            </a:graphic>
          </wp:inline>
        </w:drawing>
      </w:r>
    </w:p>
    <w:p w14:paraId="72673A26">
      <w:pPr>
        <w:numPr>
          <w:ilvl w:val="0"/>
          <w:numId w:val="0"/>
        </w:numPr>
        <w:spacing w:before="120" w:beforeLines="50" w:after="120" w:line="240" w:lineRule="auto"/>
        <w:jc w:val="center"/>
        <w:rPr>
          <w:rFonts w:hint="default"/>
          <w:b w:val="0"/>
          <w:bCs w:val="0"/>
          <w:lang w:val="en-US" w:eastAsia="zh-CN"/>
        </w:rPr>
      </w:pPr>
      <w:r>
        <w:rPr>
          <w:rFonts w:hint="eastAsia" w:ascii="Arial" w:hAnsi="Arial" w:eastAsia="宋体" w:cs="Arial"/>
          <w:b w:val="0"/>
          <w:bCs w:val="0"/>
          <w:sz w:val="20"/>
          <w:szCs w:val="20"/>
          <w:lang w:val="en-US" w:eastAsia="zh-CN"/>
        </w:rPr>
        <w:t>Figure 3. Positioning with gNB-sided model (case 3a)</w:t>
      </w:r>
    </w:p>
    <w:p w14:paraId="6FB70F0A">
      <w:pPr>
        <w:numPr>
          <w:ilvl w:val="0"/>
          <w:numId w:val="0"/>
        </w:numPr>
        <w:spacing w:before="120" w:beforeLines="50" w:after="120" w:line="260" w:lineRule="exact"/>
        <w:rPr>
          <w:rFonts w:hint="default"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During the R18 study, the entity for gNB-sided model training can reside at gNB or OAM. Based on the following RAN1 agreement, the label and its related data (e.g., time stamp) can be generated by at least LMF. Thus, the NRPPa should be enhanced to transmit the label and related data from LMF to gNB for model training.</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72DEC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47C43E57">
            <w:pPr>
              <w:rPr>
                <w:rFonts w:hint="default" w:ascii="Arial" w:hAnsi="Arial" w:cs="Arial"/>
                <w:sz w:val="20"/>
                <w:szCs w:val="20"/>
                <w:highlight w:val="green"/>
              </w:rPr>
            </w:pPr>
            <w:r>
              <w:rPr>
                <w:rFonts w:hint="default" w:ascii="Arial" w:hAnsi="Arial" w:cs="Arial"/>
                <w:sz w:val="20"/>
                <w:szCs w:val="20"/>
                <w:highlight w:val="green"/>
                <w:lang w:val="en-US" w:eastAsia="zh-CN"/>
              </w:rPr>
              <w:t xml:space="preserve">RAN1#116bis </w:t>
            </w:r>
            <w:r>
              <w:rPr>
                <w:rFonts w:hint="default" w:ascii="Arial" w:hAnsi="Arial" w:cs="Arial"/>
                <w:sz w:val="20"/>
                <w:szCs w:val="20"/>
                <w:highlight w:val="green"/>
              </w:rPr>
              <w:t>Agreement</w:t>
            </w:r>
          </w:p>
          <w:p w14:paraId="2BB7A253">
            <w:pPr>
              <w:rPr>
                <w:rFonts w:hint="default" w:ascii="Arial" w:hAnsi="Arial" w:cs="Arial"/>
                <w:sz w:val="20"/>
                <w:szCs w:val="20"/>
              </w:rPr>
            </w:pPr>
            <w:r>
              <w:rPr>
                <w:rFonts w:hint="default" w:ascii="Arial" w:hAnsi="Arial" w:cs="Arial"/>
                <w:sz w:val="20"/>
                <w:szCs w:val="20"/>
              </w:rPr>
              <w:t xml:space="preserve">For training data generation of AI/ML based positioning Case 3a, </w:t>
            </w:r>
            <w:r>
              <w:rPr>
                <w:rFonts w:hint="default" w:ascii="Arial" w:hAnsi="Arial" w:cs="Arial"/>
                <w:sz w:val="20"/>
                <w:szCs w:val="20"/>
                <w:highlight w:val="yellow"/>
              </w:rPr>
              <w:t>the label and its related data (e.g., time stamp) can be generated by at least:</w:t>
            </w:r>
          </w:p>
          <w:p w14:paraId="48815BB8">
            <w:pPr>
              <w:pStyle w:val="24"/>
              <w:widowControl w:val="0"/>
              <w:numPr>
                <w:ilvl w:val="0"/>
                <w:numId w:val="9"/>
              </w:numPr>
              <w:ind w:leftChars="0"/>
              <w:jc w:val="both"/>
              <w:rPr>
                <w:rFonts w:hint="default" w:ascii="Arial" w:hAnsi="Arial" w:cs="Arial"/>
                <w:sz w:val="20"/>
                <w:szCs w:val="20"/>
              </w:rPr>
            </w:pPr>
            <w:r>
              <w:rPr>
                <w:rFonts w:hint="default" w:ascii="Arial" w:hAnsi="Arial" w:cs="Arial"/>
                <w:sz w:val="20"/>
                <w:szCs w:val="20"/>
                <w:highlight w:val="yellow"/>
                <w:lang w:val="en-US"/>
              </w:rPr>
              <w:t>LMF</w:t>
            </w:r>
            <w:r>
              <w:rPr>
                <w:rFonts w:hint="default" w:ascii="Arial" w:hAnsi="Arial" w:cs="Arial"/>
                <w:sz w:val="20"/>
                <w:szCs w:val="20"/>
                <w:lang w:val="en-US"/>
              </w:rPr>
              <w:t xml:space="preserve"> </w:t>
            </w:r>
          </w:p>
          <w:p w14:paraId="11A40ACC">
            <w:pPr>
              <w:rPr>
                <w:rFonts w:hint="default" w:ascii="Arial" w:hAnsi="Arial" w:cs="Arial"/>
                <w:sz w:val="20"/>
                <w:szCs w:val="20"/>
              </w:rPr>
            </w:pPr>
            <w:r>
              <w:rPr>
                <w:rFonts w:hint="default" w:ascii="Arial" w:hAnsi="Arial" w:cs="Arial"/>
                <w:sz w:val="20"/>
                <w:szCs w:val="20"/>
              </w:rPr>
              <w:t xml:space="preserve">Note: transfer of label and its related data is out of RAN1 scope. </w:t>
            </w:r>
          </w:p>
          <w:p w14:paraId="5DC79FD5">
            <w:pPr>
              <w:rPr>
                <w:rFonts w:hint="eastAsia" w:ascii="Arial" w:hAnsi="Arial" w:eastAsia="宋体" w:cs="Arial"/>
                <w:b w:val="0"/>
                <w:bCs w:val="0"/>
                <w:sz w:val="20"/>
                <w:szCs w:val="20"/>
                <w:vertAlign w:val="baseline"/>
                <w:lang w:val="en-US" w:eastAsia="zh-CN"/>
              </w:rPr>
            </w:pPr>
            <w:r>
              <w:rPr>
                <w:rFonts w:hint="default" w:ascii="Arial" w:hAnsi="Arial" w:cs="Arial"/>
                <w:sz w:val="20"/>
                <w:szCs w:val="20"/>
              </w:rPr>
              <w:t xml:space="preserve">Note: whether other network entities can generate label for Case 3a is out of RAN1 scope. </w:t>
            </w:r>
          </w:p>
        </w:tc>
      </w:tr>
    </w:tbl>
    <w:p w14:paraId="14E8E996">
      <w:pPr>
        <w:numPr>
          <w:ilvl w:val="0"/>
          <w:numId w:val="0"/>
        </w:numPr>
        <w:spacing w:before="120" w:beforeLines="50" w:after="120" w:line="260" w:lineRule="exact"/>
        <w:rPr>
          <w:rFonts w:hint="default" w:ascii="Arial" w:hAnsi="Arial" w:eastAsia="宋体" w:cs="Arial"/>
          <w:b/>
          <w:bCs/>
          <w:sz w:val="20"/>
          <w:szCs w:val="20"/>
          <w:lang w:val="en-US" w:eastAsia="zh-CN"/>
        </w:rPr>
      </w:pPr>
      <w:r>
        <w:rPr>
          <w:rFonts w:hint="eastAsia" w:ascii="Arial" w:hAnsi="Arial" w:eastAsia="宋体" w:cs="Arial"/>
          <w:b/>
          <w:bCs/>
          <w:sz w:val="20"/>
          <w:szCs w:val="20"/>
          <w:lang w:val="en-US" w:eastAsia="zh-CN"/>
        </w:rPr>
        <w:t>Proposal 10: For positioning with gNB-sided model (case 3a), the enhancement on NRPPa maybe needed to transmit the data (e.g. the label and its related data) from LMF to gNB for model training, the details should be discussed in RAN3.</w:t>
      </w:r>
    </w:p>
    <w:p w14:paraId="5D9D8543">
      <w:pPr>
        <w:numPr>
          <w:ilvl w:val="0"/>
          <w:numId w:val="0"/>
        </w:numPr>
        <w:spacing w:before="120" w:beforeLines="50" w:after="120" w:line="260" w:lineRule="exact"/>
        <w:rPr>
          <w:rFonts w:hint="default"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Based on the following RAN1 agreement, the measurement for case 3a is based on the existing UL SRS and no new SRS will be introduced. Therefore, the legacy UL SRS transmitting and measurement will be reused, which has no additional impacts on Uu interface.</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1EAE3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04646B51">
            <w:pPr>
              <w:rPr>
                <w:rFonts w:hint="default" w:ascii="Arial" w:hAnsi="Arial" w:eastAsia="等线" w:cs="Arial"/>
                <w:b w:val="0"/>
                <w:bCs w:val="0"/>
                <w:sz w:val="20"/>
                <w:szCs w:val="21"/>
                <w:highlight w:val="green"/>
                <w:lang w:eastAsia="zh-CN"/>
              </w:rPr>
            </w:pPr>
            <w:r>
              <w:rPr>
                <w:rFonts w:hint="eastAsia" w:ascii="Arial" w:hAnsi="Arial" w:eastAsia="等线" w:cs="Arial"/>
                <w:b w:val="0"/>
                <w:bCs w:val="0"/>
                <w:sz w:val="20"/>
                <w:szCs w:val="21"/>
                <w:highlight w:val="green"/>
                <w:lang w:val="en-US" w:eastAsia="zh-CN"/>
              </w:rPr>
              <w:t xml:space="preserve">RAN1#116 </w:t>
            </w:r>
            <w:r>
              <w:rPr>
                <w:rFonts w:hint="default" w:ascii="Arial" w:hAnsi="Arial" w:eastAsia="等线" w:cs="Arial"/>
                <w:b w:val="0"/>
                <w:bCs w:val="0"/>
                <w:sz w:val="20"/>
                <w:szCs w:val="21"/>
                <w:highlight w:val="green"/>
                <w:lang w:eastAsia="zh-CN"/>
              </w:rPr>
              <w:t>Agreement</w:t>
            </w:r>
          </w:p>
          <w:p w14:paraId="0685C666">
            <w:pPr>
              <w:rPr>
                <w:rFonts w:hint="default" w:ascii="Arial" w:hAnsi="Arial" w:cs="Arial"/>
                <w:sz w:val="20"/>
                <w:szCs w:val="21"/>
              </w:rPr>
            </w:pPr>
            <w:r>
              <w:rPr>
                <w:rFonts w:hint="default" w:ascii="Arial" w:hAnsi="Arial" w:cs="Arial"/>
                <w:sz w:val="20"/>
                <w:szCs w:val="21"/>
              </w:rPr>
              <w:t>For Rel-19 AI/ML based positioning</w:t>
            </w:r>
            <w:r>
              <w:rPr>
                <w:rFonts w:hint="default" w:ascii="Arial" w:hAnsi="Arial" w:cs="Arial"/>
                <w:sz w:val="20"/>
                <w:szCs w:val="21"/>
                <w:highlight w:val="yellow"/>
              </w:rPr>
              <w:t>, the measurements for determining model input are based on the DL PRS and UL SRS defined in TS38.211</w:t>
            </w:r>
            <w:r>
              <w:rPr>
                <w:rFonts w:hint="default" w:ascii="Arial" w:hAnsi="Arial" w:cs="Arial"/>
                <w:sz w:val="20"/>
                <w:szCs w:val="21"/>
              </w:rPr>
              <w:t>.</w:t>
            </w:r>
          </w:p>
          <w:p w14:paraId="5B7FE8BC">
            <w:pPr>
              <w:pStyle w:val="24"/>
              <w:widowControl w:val="0"/>
              <w:numPr>
                <w:ilvl w:val="0"/>
                <w:numId w:val="10"/>
              </w:numPr>
              <w:ind w:leftChars="0"/>
              <w:jc w:val="both"/>
              <w:rPr>
                <w:rFonts w:hint="default" w:ascii="Arial" w:hAnsi="Arial" w:eastAsia="宋体" w:cs="Arial"/>
                <w:b w:val="0"/>
                <w:bCs w:val="0"/>
                <w:sz w:val="20"/>
                <w:szCs w:val="20"/>
                <w:vertAlign w:val="baseline"/>
                <w:lang w:val="en-US" w:eastAsia="zh-CN"/>
              </w:rPr>
            </w:pPr>
            <w:r>
              <w:rPr>
                <w:rFonts w:hint="default" w:ascii="Arial" w:hAnsi="Arial" w:cs="Arial"/>
                <w:sz w:val="20"/>
                <w:szCs w:val="21"/>
              </w:rPr>
              <w:t>Note: The use of SRS for MIMO resource is transparent to UE.</w:t>
            </w:r>
          </w:p>
        </w:tc>
      </w:tr>
    </w:tbl>
    <w:p w14:paraId="00214187">
      <w:pPr>
        <w:numPr>
          <w:ilvl w:val="0"/>
          <w:numId w:val="0"/>
        </w:numPr>
        <w:spacing w:before="120" w:beforeLines="50" w:after="120" w:line="260" w:lineRule="exact"/>
        <w:rPr>
          <w:rFonts w:hint="default" w:ascii="Arial" w:hAnsi="Arial" w:eastAsia="宋体" w:cs="Arial"/>
          <w:b w:val="0"/>
          <w:bCs w:val="0"/>
          <w:sz w:val="20"/>
          <w:szCs w:val="20"/>
          <w:lang w:val="en-US" w:eastAsia="zh-CN"/>
        </w:rPr>
      </w:pPr>
      <w:r>
        <w:rPr>
          <w:rFonts w:hint="eastAsia" w:ascii="Arial" w:hAnsi="Arial" w:eastAsia="宋体" w:cs="Arial"/>
          <w:b/>
          <w:bCs/>
          <w:sz w:val="20"/>
          <w:szCs w:val="20"/>
          <w:lang w:val="en-US" w:eastAsia="zh-CN"/>
        </w:rPr>
        <w:t>Proposal 11: For positioning with gNB-sided model (case 3a), there is no additional impact on Uu interface.</w:t>
      </w:r>
    </w:p>
    <w:p w14:paraId="525A14BF">
      <w:pPr>
        <w:numPr>
          <w:ilvl w:val="0"/>
          <w:numId w:val="0"/>
        </w:numPr>
        <w:spacing w:before="120" w:beforeLines="50" w:after="120" w:line="260" w:lineRule="exact"/>
        <w:rPr>
          <w:rFonts w:hint="default" w:ascii="Arial" w:hAnsi="Arial" w:eastAsia="宋体" w:cs="Arial"/>
          <w:b w:val="0"/>
          <w:bCs w:val="0"/>
          <w:sz w:val="20"/>
          <w:szCs w:val="20"/>
          <w:lang w:val="en-US" w:eastAsia="zh-CN"/>
        </w:rPr>
      </w:pPr>
    </w:p>
    <w:p w14:paraId="2A5DC1E7">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2"/>
        <w:rPr>
          <w:rFonts w:hint="default" w:ascii="Arial" w:hAnsi="Arial" w:cs="Arial"/>
          <w:b w:val="0"/>
          <w:bCs/>
          <w:sz w:val="24"/>
          <w:szCs w:val="24"/>
          <w:lang w:val="en-US" w:eastAsia="zh-CN"/>
        </w:rPr>
      </w:pPr>
      <w:r>
        <w:rPr>
          <w:rFonts w:hint="eastAsia" w:ascii="Arial" w:hAnsi="Arial" w:cs="Arial"/>
          <w:b w:val="0"/>
          <w:bCs/>
          <w:sz w:val="24"/>
          <w:szCs w:val="24"/>
          <w:lang w:val="en-US" w:eastAsia="zh-CN"/>
        </w:rPr>
        <w:t>2.2.2 Positioning with LMF-sided model (case 3b)</w:t>
      </w:r>
    </w:p>
    <w:p w14:paraId="40837DA0">
      <w:pPr>
        <w:numPr>
          <w:ilvl w:val="0"/>
          <w:numId w:val="0"/>
        </w:numPr>
        <w:spacing w:before="120" w:beforeLines="50" w:after="120" w:line="260" w:lineRule="exact"/>
        <w:rPr>
          <w:rFonts w:hint="eastAsia"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During the R18 study, the entity for LMF-sided model training resides at LMF and the LMF is the termination point for training data. Therefore the LMF-centric data collection should be considered, i.e. LMF configures the UE/gNB to initiate/terminate the data collection procedure.</w:t>
      </w:r>
    </w:p>
    <w:p w14:paraId="22A42A63">
      <w:pPr>
        <w:numPr>
          <w:ilvl w:val="0"/>
          <w:numId w:val="0"/>
        </w:numPr>
        <w:spacing w:before="120" w:beforeLines="50" w:after="120" w:line="240" w:lineRule="auto"/>
        <w:jc w:val="center"/>
      </w:pPr>
      <w:r>
        <w:drawing>
          <wp:inline distT="0" distB="0" distL="114300" distR="114300">
            <wp:extent cx="886460" cy="1475740"/>
            <wp:effectExtent l="0" t="0" r="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6"/>
                    <a:srcRect l="81977" t="4619" r="2390" b="14403"/>
                    <a:stretch>
                      <a:fillRect/>
                    </a:stretch>
                  </pic:blipFill>
                  <pic:spPr>
                    <a:xfrm>
                      <a:off x="0" y="0"/>
                      <a:ext cx="886460" cy="1475740"/>
                    </a:xfrm>
                    <a:prstGeom prst="rect">
                      <a:avLst/>
                    </a:prstGeom>
                  </pic:spPr>
                </pic:pic>
              </a:graphicData>
            </a:graphic>
          </wp:inline>
        </w:drawing>
      </w:r>
    </w:p>
    <w:p w14:paraId="101EBE6F">
      <w:pPr>
        <w:numPr>
          <w:ilvl w:val="0"/>
          <w:numId w:val="0"/>
        </w:numPr>
        <w:spacing w:before="120" w:beforeLines="50" w:after="120" w:line="240" w:lineRule="auto"/>
        <w:jc w:val="center"/>
        <w:rPr>
          <w:rFonts w:hint="eastAsia"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Figure 4. Positioning with LMF-sided model (case 3b)</w:t>
      </w:r>
    </w:p>
    <w:p w14:paraId="63E442BA">
      <w:pPr>
        <w:spacing w:before="120" w:beforeLines="50" w:after="120" w:line="260" w:lineRule="exact"/>
        <w:rPr>
          <w:rFonts w:hint="eastAsia" w:ascii="Arial" w:hAnsi="Arial" w:cs="Arial"/>
          <w:bCs/>
          <w:sz w:val="20"/>
          <w:szCs w:val="20"/>
          <w:lang w:val="en-US" w:eastAsia="zh-CN"/>
        </w:rPr>
      </w:pPr>
      <w:r>
        <w:rPr>
          <w:rFonts w:hint="eastAsia" w:ascii="Arial" w:hAnsi="Arial" w:cs="Arial"/>
          <w:bCs/>
          <w:sz w:val="20"/>
          <w:szCs w:val="20"/>
        </w:rPr>
        <w:t xml:space="preserve">For the content of </w:t>
      </w:r>
      <w:r>
        <w:rPr>
          <w:rFonts w:hint="eastAsia" w:ascii="Arial" w:hAnsi="Arial" w:cs="Arial"/>
          <w:bCs/>
          <w:sz w:val="20"/>
          <w:szCs w:val="20"/>
          <w:lang w:val="en-US" w:eastAsia="zh-CN"/>
        </w:rPr>
        <w:t xml:space="preserve">collected </w:t>
      </w:r>
      <w:r>
        <w:rPr>
          <w:rFonts w:hint="eastAsia" w:ascii="Arial" w:hAnsi="Arial" w:cs="Arial"/>
          <w:bCs/>
          <w:sz w:val="20"/>
          <w:szCs w:val="20"/>
        </w:rPr>
        <w:t>data</w:t>
      </w:r>
      <w:r>
        <w:rPr>
          <w:rFonts w:hint="eastAsia" w:ascii="Arial" w:hAnsi="Arial" w:cs="Arial"/>
          <w:bCs/>
          <w:sz w:val="20"/>
          <w:szCs w:val="20"/>
          <w:lang w:val="en-US" w:eastAsia="zh-CN"/>
        </w:rPr>
        <w:t xml:space="preserve"> for LMF-sided model training</w:t>
      </w:r>
      <w:r>
        <w:rPr>
          <w:rFonts w:hint="eastAsia" w:ascii="Arial" w:hAnsi="Arial" w:cs="Arial"/>
          <w:bCs/>
          <w:sz w:val="20"/>
          <w:szCs w:val="20"/>
        </w:rPr>
        <w:t xml:space="preserve">, </w:t>
      </w:r>
      <w:r>
        <w:rPr>
          <w:rFonts w:hint="eastAsia" w:ascii="Arial" w:hAnsi="Arial" w:cs="Arial"/>
          <w:bCs/>
          <w:sz w:val="20"/>
          <w:szCs w:val="20"/>
          <w:lang w:val="en-US" w:eastAsia="zh-CN"/>
        </w:rPr>
        <w:t xml:space="preserve">at least </w:t>
      </w:r>
      <w:r>
        <w:rPr>
          <w:rFonts w:hint="eastAsia" w:ascii="Arial" w:hAnsi="Arial" w:eastAsia="宋体" w:cs="Arial"/>
          <w:b w:val="0"/>
          <w:bCs w:val="0"/>
          <w:sz w:val="20"/>
          <w:szCs w:val="20"/>
          <w:lang w:val="en-US" w:eastAsia="zh-CN"/>
        </w:rPr>
        <w:t xml:space="preserve">measurements (corresponding to model input, e.g. timing, power, and/or phase info) and location coordinates as model output are needed based on RAN1 reply LS [4]. During the R19 discussion, </w:t>
      </w:r>
      <w:r>
        <w:rPr>
          <w:rFonts w:hint="eastAsia" w:ascii="Arial" w:hAnsi="Arial" w:cs="Arial"/>
          <w:bCs/>
          <w:sz w:val="20"/>
          <w:szCs w:val="20"/>
          <w:lang w:val="en-US" w:eastAsia="zh-CN"/>
        </w:rPr>
        <w:t xml:space="preserve">RAN1 has achieved the following agreements on the collected data for LMF-sided model.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57C53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7C4941F4">
            <w:pPr>
              <w:rPr>
                <w:rFonts w:hint="default" w:ascii="Arial" w:hAnsi="Arial" w:eastAsia="等线" w:cs="Arial"/>
                <w:b w:val="0"/>
                <w:bCs w:val="0"/>
                <w:sz w:val="20"/>
                <w:szCs w:val="21"/>
                <w:highlight w:val="green"/>
                <w:lang w:eastAsia="zh-CN"/>
              </w:rPr>
            </w:pPr>
            <w:r>
              <w:rPr>
                <w:rFonts w:hint="default" w:ascii="Arial" w:hAnsi="Arial" w:eastAsia="等线" w:cs="Arial"/>
                <w:b w:val="0"/>
                <w:bCs w:val="0"/>
                <w:sz w:val="20"/>
                <w:szCs w:val="21"/>
                <w:highlight w:val="green"/>
                <w:lang w:val="en-US" w:eastAsia="zh-CN"/>
              </w:rPr>
              <w:t xml:space="preserve">RAN1#116 </w:t>
            </w:r>
            <w:r>
              <w:rPr>
                <w:rFonts w:hint="default" w:ascii="Arial" w:hAnsi="Arial" w:eastAsia="等线" w:cs="Arial"/>
                <w:b w:val="0"/>
                <w:bCs w:val="0"/>
                <w:sz w:val="20"/>
                <w:szCs w:val="21"/>
                <w:highlight w:val="green"/>
                <w:lang w:eastAsia="zh-CN"/>
              </w:rPr>
              <w:t>Agreement</w:t>
            </w:r>
          </w:p>
          <w:p w14:paraId="63421EC2">
            <w:pPr>
              <w:numPr>
                <w:ilvl w:val="0"/>
                <w:numId w:val="11"/>
              </w:numPr>
              <w:rPr>
                <w:rFonts w:hint="default" w:ascii="Arial" w:hAnsi="Arial" w:cs="Arial"/>
                <w:sz w:val="20"/>
                <w:szCs w:val="21"/>
              </w:rPr>
            </w:pPr>
            <w:r>
              <w:rPr>
                <w:rFonts w:hint="default" w:ascii="Arial" w:hAnsi="Arial" w:cs="Arial"/>
                <w:sz w:val="20"/>
                <w:szCs w:val="21"/>
              </w:rPr>
              <w:t xml:space="preserve">For AI/ML based positioning case </w:t>
            </w:r>
            <w:r>
              <w:rPr>
                <w:rFonts w:hint="eastAsia" w:ascii="Arial" w:hAnsi="Arial" w:cs="Arial"/>
                <w:sz w:val="20"/>
                <w:szCs w:val="21"/>
                <w:lang w:val="en-US" w:eastAsia="zh-CN"/>
              </w:rPr>
              <w:t xml:space="preserve">2b and </w:t>
            </w:r>
            <w:r>
              <w:rPr>
                <w:rFonts w:hint="default" w:ascii="Arial" w:hAnsi="Arial" w:cs="Arial"/>
                <w:sz w:val="20"/>
                <w:szCs w:val="21"/>
              </w:rPr>
              <w:t xml:space="preserve">3b, at least the following types of time domain channel measurements are supported for reporting: </w:t>
            </w:r>
          </w:p>
          <w:p w14:paraId="7068863B">
            <w:pPr>
              <w:pStyle w:val="24"/>
              <w:widowControl w:val="0"/>
              <w:numPr>
                <w:ilvl w:val="0"/>
                <w:numId w:val="12"/>
              </w:numPr>
              <w:ind w:left="851" w:leftChars="0" w:hanging="425"/>
              <w:jc w:val="both"/>
              <w:rPr>
                <w:rFonts w:hint="default" w:ascii="Arial" w:hAnsi="Arial" w:cs="Arial"/>
                <w:sz w:val="20"/>
                <w:szCs w:val="21"/>
                <w:lang w:val="en-US"/>
              </w:rPr>
            </w:pPr>
            <w:r>
              <w:rPr>
                <w:rFonts w:hint="default" w:ascii="Arial" w:hAnsi="Arial" w:cs="Arial"/>
                <w:sz w:val="20"/>
                <w:szCs w:val="21"/>
                <w:lang w:val="en-US"/>
              </w:rPr>
              <w:t>timing information;</w:t>
            </w:r>
          </w:p>
          <w:p w14:paraId="602A73F3">
            <w:pPr>
              <w:pStyle w:val="24"/>
              <w:widowControl w:val="0"/>
              <w:numPr>
                <w:ilvl w:val="0"/>
                <w:numId w:val="12"/>
              </w:numPr>
              <w:ind w:left="851" w:leftChars="0" w:hanging="425"/>
              <w:jc w:val="both"/>
              <w:rPr>
                <w:rFonts w:hint="default" w:ascii="Arial" w:hAnsi="Arial" w:cs="Arial"/>
                <w:sz w:val="20"/>
                <w:szCs w:val="21"/>
              </w:rPr>
            </w:pPr>
            <w:r>
              <w:rPr>
                <w:rFonts w:hint="default" w:ascii="Arial" w:hAnsi="Arial" w:cs="Arial"/>
                <w:sz w:val="20"/>
                <w:szCs w:val="21"/>
                <w:lang w:val="en-US"/>
              </w:rPr>
              <w:t>paired timing information and power information.</w:t>
            </w:r>
          </w:p>
          <w:p w14:paraId="02581D85">
            <w:pPr>
              <w:rPr>
                <w:rFonts w:hint="default" w:ascii="Arial" w:hAnsi="Arial" w:cs="Arial"/>
                <w:sz w:val="20"/>
                <w:szCs w:val="21"/>
              </w:rPr>
            </w:pPr>
            <w:r>
              <w:rPr>
                <w:rFonts w:hint="default" w:ascii="Arial" w:hAnsi="Arial" w:cs="Arial"/>
                <w:sz w:val="20"/>
                <w:szCs w:val="21"/>
              </w:rPr>
              <w:t xml:space="preserve">For AI/ML based positioning Case 3b, for gNB channel measurements reported to LMF, the timing information is represented relative to a reference time. </w:t>
            </w:r>
          </w:p>
          <w:p w14:paraId="40F39B57">
            <w:pPr>
              <w:pStyle w:val="24"/>
              <w:widowControl w:val="0"/>
              <w:numPr>
                <w:ilvl w:val="0"/>
                <w:numId w:val="13"/>
              </w:numPr>
              <w:ind w:leftChars="0"/>
              <w:jc w:val="both"/>
              <w:rPr>
                <w:rFonts w:hint="default" w:ascii="Arial" w:hAnsi="Arial" w:cs="Arial"/>
                <w:sz w:val="20"/>
                <w:szCs w:val="21"/>
                <w:lang w:val="en-US"/>
              </w:rPr>
            </w:pPr>
            <w:r>
              <w:rPr>
                <w:rFonts w:hint="default" w:ascii="Arial" w:hAnsi="Arial" w:cs="Arial"/>
                <w:sz w:val="20"/>
                <w:szCs w:val="21"/>
                <w:lang w:val="en-US"/>
              </w:rPr>
              <w:t>FFS: Whether any specification impact of the reference time used to represent the timing information. Details of the reference time</w:t>
            </w:r>
          </w:p>
          <w:p w14:paraId="669051DA">
            <w:pPr>
              <w:rPr>
                <w:rFonts w:hint="default" w:ascii="Arial" w:hAnsi="Arial" w:eastAsia="等线" w:cs="Arial"/>
                <w:sz w:val="20"/>
                <w:szCs w:val="20"/>
                <w:highlight w:val="darkYellow"/>
                <w:lang w:eastAsia="zh-CN"/>
              </w:rPr>
            </w:pPr>
            <w:r>
              <w:rPr>
                <w:rFonts w:hint="default" w:ascii="Arial" w:hAnsi="Arial" w:eastAsia="等线" w:cs="Arial"/>
                <w:sz w:val="20"/>
                <w:szCs w:val="20"/>
                <w:highlight w:val="darkYellow"/>
                <w:lang w:val="en-US" w:eastAsia="zh-CN"/>
              </w:rPr>
              <w:t xml:space="preserve">RAN1#116bis </w:t>
            </w:r>
            <w:r>
              <w:rPr>
                <w:rFonts w:hint="default" w:ascii="Arial" w:hAnsi="Arial" w:eastAsia="等线" w:cs="Arial"/>
                <w:sz w:val="20"/>
                <w:szCs w:val="20"/>
                <w:highlight w:val="darkYellow"/>
                <w:lang w:eastAsia="zh-CN"/>
              </w:rPr>
              <w:t>Working Assumption</w:t>
            </w:r>
          </w:p>
          <w:p w14:paraId="65C71078">
            <w:pPr>
              <w:rPr>
                <w:rFonts w:hint="default" w:ascii="Arial" w:hAnsi="Arial" w:cs="Arial"/>
                <w:sz w:val="20"/>
                <w:szCs w:val="20"/>
              </w:rPr>
            </w:pPr>
            <w:r>
              <w:rPr>
                <w:rFonts w:hint="default" w:ascii="Arial" w:hAnsi="Arial" w:cs="Arial"/>
                <w:sz w:val="20"/>
                <w:szCs w:val="20"/>
              </w:rPr>
              <w:t>For training data generation of AI/ML based positioning Case 3b, the label and its related data (e.g., time stamp) can be generated by:</w:t>
            </w:r>
          </w:p>
          <w:p w14:paraId="7BA5F7BF">
            <w:pPr>
              <w:pStyle w:val="24"/>
              <w:widowControl w:val="0"/>
              <w:numPr>
                <w:ilvl w:val="0"/>
                <w:numId w:val="9"/>
              </w:numPr>
              <w:ind w:leftChars="0"/>
              <w:jc w:val="both"/>
              <w:rPr>
                <w:rFonts w:hint="default" w:ascii="Arial" w:hAnsi="Arial" w:cs="Arial"/>
                <w:sz w:val="20"/>
                <w:szCs w:val="20"/>
              </w:rPr>
            </w:pPr>
            <w:r>
              <w:rPr>
                <w:rFonts w:hint="default" w:ascii="Arial" w:hAnsi="Arial" w:cs="Arial"/>
                <w:sz w:val="20"/>
                <w:szCs w:val="20"/>
                <w:lang w:val="en-US"/>
              </w:rPr>
              <w:t>PRU</w:t>
            </w:r>
          </w:p>
          <w:p w14:paraId="47D1D37B">
            <w:pPr>
              <w:pStyle w:val="24"/>
              <w:widowControl w:val="0"/>
              <w:numPr>
                <w:ilvl w:val="0"/>
                <w:numId w:val="9"/>
              </w:numPr>
              <w:ind w:leftChars="0"/>
              <w:jc w:val="both"/>
              <w:rPr>
                <w:rFonts w:hint="default" w:ascii="Arial" w:hAnsi="Arial" w:cs="Arial"/>
                <w:sz w:val="20"/>
                <w:szCs w:val="20"/>
                <w:lang w:val="en-US"/>
              </w:rPr>
            </w:pPr>
            <w:r>
              <w:rPr>
                <w:rFonts w:hint="default" w:ascii="Arial" w:hAnsi="Arial" w:eastAsia="等线" w:cs="Arial"/>
                <w:sz w:val="20"/>
                <w:szCs w:val="20"/>
                <w:lang w:val="en-US" w:eastAsia="zh-CN"/>
              </w:rPr>
              <w:t xml:space="preserve">FFS: </w:t>
            </w:r>
            <w:r>
              <w:rPr>
                <w:rFonts w:hint="default" w:ascii="Arial" w:hAnsi="Arial" w:cs="Arial"/>
                <w:sz w:val="20"/>
                <w:szCs w:val="20"/>
                <w:lang w:val="en-US"/>
              </w:rPr>
              <w:t>Non-PRU UE with estimated location</w:t>
            </w:r>
          </w:p>
          <w:p w14:paraId="1D4EC846">
            <w:pPr>
              <w:pStyle w:val="24"/>
              <w:widowControl w:val="0"/>
              <w:numPr>
                <w:ilvl w:val="0"/>
                <w:numId w:val="9"/>
              </w:numPr>
              <w:ind w:leftChars="0"/>
              <w:jc w:val="both"/>
              <w:rPr>
                <w:rFonts w:hint="default" w:ascii="Arial" w:hAnsi="Arial" w:cs="Arial"/>
                <w:sz w:val="20"/>
                <w:szCs w:val="20"/>
              </w:rPr>
            </w:pPr>
            <w:r>
              <w:rPr>
                <w:rFonts w:hint="default" w:ascii="Arial" w:hAnsi="Arial" w:cs="Arial"/>
                <w:sz w:val="20"/>
                <w:szCs w:val="20"/>
                <w:lang w:val="en-US"/>
              </w:rPr>
              <w:t>LMF</w:t>
            </w:r>
          </w:p>
          <w:p w14:paraId="4BB780E8">
            <w:pPr>
              <w:rPr>
                <w:rFonts w:hint="eastAsia" w:ascii="Arial" w:hAnsi="Arial" w:cs="Arial"/>
                <w:bCs/>
                <w:sz w:val="20"/>
                <w:szCs w:val="20"/>
                <w:vertAlign w:val="baseline"/>
                <w:lang w:val="en-US" w:eastAsia="zh-CN"/>
              </w:rPr>
            </w:pPr>
            <w:r>
              <w:rPr>
                <w:rFonts w:hint="default" w:ascii="Arial" w:hAnsi="Arial" w:cs="Arial"/>
                <w:sz w:val="20"/>
                <w:szCs w:val="20"/>
              </w:rPr>
              <w:t>Note: transfer of label and its related data is out of RAN1 scope.</w:t>
            </w:r>
          </w:p>
        </w:tc>
      </w:tr>
    </w:tbl>
    <w:p w14:paraId="31EDC0E5">
      <w:pPr>
        <w:numPr>
          <w:ilvl w:val="0"/>
          <w:numId w:val="0"/>
        </w:numPr>
        <w:spacing w:before="120" w:beforeLines="50" w:after="120" w:line="260" w:lineRule="exact"/>
        <w:rPr>
          <w:rFonts w:hint="default"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In general, the training data can be generated by gNB and terminated at LMF. Hence, it is straight forward to extend the NRPPa protocol to collect data for LMF-sided model training which should be discussed in RAN3.</w:t>
      </w:r>
    </w:p>
    <w:p w14:paraId="70123B64">
      <w:pPr>
        <w:numPr>
          <w:ilvl w:val="0"/>
          <w:numId w:val="0"/>
        </w:numPr>
        <w:spacing w:before="120" w:beforeLines="50" w:after="120" w:line="260" w:lineRule="exact"/>
        <w:rPr>
          <w:rFonts w:hint="default" w:ascii="Arial" w:hAnsi="Arial" w:eastAsia="宋体" w:cs="Arial"/>
          <w:b/>
          <w:bCs/>
          <w:sz w:val="20"/>
          <w:szCs w:val="20"/>
          <w:lang w:val="en-US" w:eastAsia="zh-CN"/>
        </w:rPr>
      </w:pPr>
      <w:r>
        <w:rPr>
          <w:rFonts w:hint="eastAsia" w:ascii="Arial" w:hAnsi="Arial" w:eastAsia="宋体" w:cs="Arial"/>
          <w:b/>
          <w:bCs/>
          <w:sz w:val="20"/>
          <w:szCs w:val="20"/>
          <w:lang w:val="en-US" w:eastAsia="zh-CN"/>
        </w:rPr>
        <w:t>Proposal 12</w:t>
      </w:r>
      <w:bookmarkStart w:id="0" w:name="_GoBack"/>
      <w:bookmarkEnd w:id="0"/>
      <w:r>
        <w:rPr>
          <w:rFonts w:hint="eastAsia" w:ascii="Arial" w:hAnsi="Arial" w:eastAsia="宋体" w:cs="Arial"/>
          <w:b/>
          <w:bCs/>
          <w:sz w:val="20"/>
          <w:szCs w:val="20"/>
          <w:lang w:val="en-US" w:eastAsia="zh-CN"/>
        </w:rPr>
        <w:t xml:space="preserve">: For positioning with LMF-side model (case 3b), it is up to RAN3 whether to extend the NRPPa protocol to collect data from gNB to LMF for model training. </w:t>
      </w:r>
    </w:p>
    <w:p w14:paraId="32905114">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9"/>
        <w:rPr>
          <w:rFonts w:hint="eastAsia" w:ascii="Arial" w:hAnsi="Arial" w:cs="Arial"/>
          <w:b/>
          <w:bCs w:val="0"/>
          <w:sz w:val="28"/>
          <w:szCs w:val="28"/>
          <w:lang w:val="en-US" w:eastAsia="zh-CN"/>
        </w:rPr>
      </w:pPr>
    </w:p>
    <w:p w14:paraId="04B6D025">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14:paraId="75665F39">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Here are the</w:t>
      </w:r>
      <w:r>
        <w:rPr>
          <w:rFonts w:hint="eastAsia" w:ascii="Arial" w:hAnsi="Arial" w:eastAsia="宋体" w:cs="Arial"/>
          <w:kern w:val="0"/>
          <w:sz w:val="20"/>
          <w:szCs w:val="20"/>
        </w:rPr>
        <w:t xml:space="preserve"> </w:t>
      </w:r>
      <w:r>
        <w:rPr>
          <w:rFonts w:ascii="Arial" w:hAnsi="Arial" w:eastAsia="宋体" w:cs="Arial"/>
          <w:kern w:val="0"/>
          <w:sz w:val="20"/>
          <w:szCs w:val="20"/>
          <w:lang w:val="en-GB" w:eastAsia="en-US"/>
        </w:rPr>
        <w:t xml:space="preserve">proposals for </w:t>
      </w:r>
      <w:r>
        <w:rPr>
          <w:rFonts w:hint="eastAsia" w:ascii="Arial" w:hAnsi="Arial" w:eastAsia="宋体" w:cs="Arial"/>
          <w:kern w:val="0"/>
          <w:sz w:val="20"/>
          <w:szCs w:val="20"/>
          <w:lang w:val="en-US" w:eastAsia="zh-CN"/>
        </w:rPr>
        <w:t>NW side data collection</w:t>
      </w:r>
      <w:r>
        <w:rPr>
          <w:rFonts w:ascii="Arial" w:hAnsi="Arial" w:eastAsia="宋体" w:cs="Arial"/>
          <w:kern w:val="0"/>
          <w:sz w:val="20"/>
          <w:szCs w:val="20"/>
          <w:lang w:val="en-GB" w:eastAsia="en-US"/>
        </w:rPr>
        <w:t>.</w:t>
      </w:r>
    </w:p>
    <w:p w14:paraId="0392F64A">
      <w:pPr>
        <w:spacing w:after="120" w:afterLines="50"/>
        <w:rPr>
          <w:rFonts w:hint="eastAsia" w:ascii="Arial" w:hAnsi="Arial" w:cs="Arial"/>
          <w:b/>
          <w:i/>
          <w:iCs/>
          <w:sz w:val="20"/>
          <w:szCs w:val="20"/>
          <w:u w:val="single"/>
        </w:rPr>
      </w:pPr>
      <w:r>
        <w:rPr>
          <w:rFonts w:hint="eastAsia" w:ascii="Arial" w:hAnsi="Arial" w:cs="Arial"/>
          <w:b/>
          <w:i/>
          <w:iCs/>
          <w:sz w:val="20"/>
          <w:szCs w:val="20"/>
          <w:u w:val="single"/>
        </w:rPr>
        <w:t>Beam management</w:t>
      </w:r>
    </w:p>
    <w:p w14:paraId="0C14A6E5">
      <w:pPr>
        <w:numPr>
          <w:ilvl w:val="0"/>
          <w:numId w:val="0"/>
        </w:numPr>
        <w:spacing w:before="120" w:beforeLines="50" w:after="120" w:line="260" w:lineRule="exact"/>
        <w:rPr>
          <w:rFonts w:hint="eastAsia" w:ascii="Arial" w:hAnsi="Arial" w:eastAsia="宋体" w:cs="Arial"/>
          <w:b/>
          <w:bCs/>
          <w:sz w:val="20"/>
          <w:szCs w:val="20"/>
          <w:lang w:val="en-US" w:eastAsia="zh-CN"/>
        </w:rPr>
      </w:pPr>
      <w:r>
        <w:rPr>
          <w:rFonts w:hint="eastAsia" w:ascii="Arial" w:hAnsi="Arial" w:eastAsia="宋体" w:cs="Arial"/>
          <w:b/>
          <w:bCs/>
          <w:sz w:val="20"/>
          <w:szCs w:val="20"/>
          <w:lang w:val="en-US" w:eastAsia="zh-CN"/>
        </w:rPr>
        <w:t>Proposal 1：There can be multiple measurement configurations provided to the UE.</w:t>
      </w:r>
    </w:p>
    <w:p w14:paraId="573255D5">
      <w:pPr>
        <w:numPr>
          <w:ilvl w:val="0"/>
          <w:numId w:val="0"/>
        </w:numPr>
        <w:spacing w:before="120" w:beforeLines="50" w:after="120" w:line="260" w:lineRule="exact"/>
        <w:rPr>
          <w:rFonts w:hint="eastAsia" w:ascii="Arial" w:hAnsi="Arial" w:cs="Arial"/>
          <w:b/>
          <w:bCs/>
          <w:sz w:val="20"/>
          <w:szCs w:val="20"/>
          <w:lang w:val="en-US" w:eastAsia="zh-CN"/>
        </w:rPr>
      </w:pPr>
      <w:r>
        <w:rPr>
          <w:rFonts w:hint="eastAsia" w:ascii="Arial" w:hAnsi="Arial" w:cs="Arial"/>
          <w:b/>
          <w:bCs/>
          <w:sz w:val="20"/>
          <w:szCs w:val="20"/>
          <w:lang w:val="en-US" w:eastAsia="zh-CN"/>
        </w:rPr>
        <w:t xml:space="preserve">Proposal 2: The UE starts the data collection immediately upon reception of the measurement configuration. The </w:t>
      </w:r>
      <w:r>
        <w:rPr>
          <w:rFonts w:hint="default" w:ascii="Arial" w:hAnsi="Arial" w:cs="Arial"/>
          <w:b/>
          <w:bCs/>
          <w:sz w:val="20"/>
          <w:szCs w:val="20"/>
          <w:lang w:val="en-US"/>
        </w:rPr>
        <w:t xml:space="preserve">dynamic activation/deactivation is </w:t>
      </w:r>
      <w:r>
        <w:rPr>
          <w:rFonts w:hint="eastAsia" w:ascii="Arial" w:hAnsi="Arial" w:cs="Arial"/>
          <w:b/>
          <w:bCs/>
          <w:sz w:val="20"/>
          <w:szCs w:val="20"/>
          <w:lang w:val="en-US" w:eastAsia="zh-CN"/>
        </w:rPr>
        <w:t xml:space="preserve">not </w:t>
      </w:r>
      <w:r>
        <w:rPr>
          <w:rFonts w:hint="default" w:ascii="Arial" w:hAnsi="Arial" w:cs="Arial"/>
          <w:b/>
          <w:bCs/>
          <w:sz w:val="20"/>
          <w:szCs w:val="20"/>
          <w:lang w:val="en-US"/>
        </w:rPr>
        <w:t>support</w:t>
      </w:r>
      <w:r>
        <w:rPr>
          <w:rFonts w:hint="eastAsia" w:ascii="Arial" w:hAnsi="Arial" w:cs="Arial"/>
          <w:b/>
          <w:bCs/>
          <w:sz w:val="20"/>
          <w:szCs w:val="20"/>
          <w:lang w:val="en-US" w:eastAsia="zh-CN"/>
        </w:rPr>
        <w:t xml:space="preserve">. </w:t>
      </w:r>
    </w:p>
    <w:p w14:paraId="48F490E2">
      <w:pPr>
        <w:numPr>
          <w:ilvl w:val="0"/>
          <w:numId w:val="0"/>
        </w:numPr>
        <w:spacing w:before="120" w:beforeLines="50" w:after="120" w:line="260" w:lineRule="exact"/>
        <w:rPr>
          <w:rFonts w:hint="eastAsia" w:ascii="Arial" w:hAnsi="Arial" w:cs="Arial"/>
          <w:b/>
          <w:bCs/>
          <w:sz w:val="20"/>
          <w:szCs w:val="20"/>
          <w:lang w:val="en-US" w:eastAsia="zh-CN"/>
        </w:rPr>
      </w:pPr>
      <w:r>
        <w:rPr>
          <w:rFonts w:hint="eastAsia" w:ascii="Arial" w:hAnsi="Arial" w:cs="Arial"/>
          <w:b/>
          <w:bCs/>
          <w:sz w:val="20"/>
          <w:szCs w:val="20"/>
          <w:lang w:val="en-US" w:eastAsia="zh-CN"/>
        </w:rPr>
        <w:t>Proposal 3: The minimum AS layer memory size for training data logging is 64KB, which is the same as the existing logged MDT and QoE measurement.</w:t>
      </w:r>
    </w:p>
    <w:p w14:paraId="178675FF">
      <w:pPr>
        <w:numPr>
          <w:ilvl w:val="0"/>
          <w:numId w:val="0"/>
        </w:numPr>
        <w:spacing w:before="120" w:beforeLines="50" w:after="120" w:line="260" w:lineRule="exact"/>
        <w:rPr>
          <w:rFonts w:hint="default" w:ascii="Arial" w:hAnsi="Arial" w:cs="Arial"/>
          <w:b/>
          <w:bCs/>
          <w:sz w:val="20"/>
          <w:szCs w:val="20"/>
          <w:lang w:val="en-US" w:eastAsia="zh-CN"/>
        </w:rPr>
      </w:pPr>
      <w:r>
        <w:rPr>
          <w:rFonts w:hint="eastAsia" w:ascii="Arial" w:hAnsi="Arial" w:cs="Arial"/>
          <w:b/>
          <w:bCs/>
          <w:sz w:val="20"/>
          <w:szCs w:val="20"/>
          <w:lang w:val="en-US" w:eastAsia="zh-CN"/>
        </w:rPr>
        <w:t>Proposal 4: If the power state of the UE is low, the UE can stop measurement autonomously.</w:t>
      </w:r>
    </w:p>
    <w:p w14:paraId="7C86C711">
      <w:pPr>
        <w:numPr>
          <w:ilvl w:val="0"/>
          <w:numId w:val="0"/>
        </w:numPr>
        <w:spacing w:before="120" w:beforeLines="50" w:after="120" w:line="260" w:lineRule="exact"/>
        <w:rPr>
          <w:rFonts w:hint="default" w:ascii="Arial" w:hAnsi="Arial" w:cs="Arial"/>
          <w:b/>
          <w:bCs/>
          <w:sz w:val="20"/>
          <w:szCs w:val="20"/>
          <w:lang w:val="en-US" w:eastAsia="zh-CN"/>
        </w:rPr>
      </w:pPr>
      <w:r>
        <w:rPr>
          <w:rFonts w:hint="eastAsia" w:ascii="Arial" w:hAnsi="Arial" w:cs="Arial"/>
          <w:b/>
          <w:bCs/>
          <w:sz w:val="20"/>
          <w:szCs w:val="20"/>
          <w:lang w:val="en-US" w:eastAsia="zh-CN"/>
        </w:rPr>
        <w:t>Proposal 5: Event based reporting is not supported.</w:t>
      </w:r>
    </w:p>
    <w:p w14:paraId="3BB33BBD">
      <w:pPr>
        <w:numPr>
          <w:ilvl w:val="0"/>
          <w:numId w:val="0"/>
        </w:numPr>
        <w:spacing w:before="120" w:beforeLines="50" w:after="120" w:line="260" w:lineRule="exact"/>
        <w:rPr>
          <w:rFonts w:hint="default" w:ascii="Arial" w:hAnsi="Arial" w:cs="Arial"/>
          <w:b/>
          <w:bCs/>
          <w:sz w:val="20"/>
          <w:szCs w:val="20"/>
          <w:lang w:val="en-US" w:eastAsia="zh-CN"/>
        </w:rPr>
      </w:pPr>
      <w:r>
        <w:rPr>
          <w:rFonts w:hint="eastAsia" w:ascii="Arial" w:hAnsi="Arial" w:cs="Arial"/>
          <w:b/>
          <w:bCs/>
          <w:sz w:val="20"/>
          <w:szCs w:val="20"/>
          <w:lang w:val="en-US" w:eastAsia="zh-CN"/>
        </w:rPr>
        <w:t>Proposal 6: Introduce availability indicator to indicate the availability of logged data for training, e.g. when the AS buffer is full or the power state is low.</w:t>
      </w:r>
    </w:p>
    <w:p w14:paraId="11B2FD62">
      <w:pPr>
        <w:numPr>
          <w:ilvl w:val="0"/>
          <w:numId w:val="0"/>
        </w:numPr>
        <w:spacing w:before="120" w:beforeLines="50" w:after="120" w:line="260" w:lineRule="exact"/>
        <w:rPr>
          <w:rFonts w:hint="default" w:ascii="Arial" w:hAnsi="Arial" w:cs="Arial"/>
          <w:b/>
          <w:bCs/>
          <w:sz w:val="20"/>
          <w:szCs w:val="20"/>
          <w:lang w:val="en-US" w:eastAsia="zh-CN"/>
        </w:rPr>
      </w:pPr>
      <w:r>
        <w:rPr>
          <w:rFonts w:hint="eastAsia" w:ascii="Arial" w:hAnsi="Arial" w:cs="Arial"/>
          <w:b/>
          <w:bCs/>
          <w:sz w:val="20"/>
          <w:szCs w:val="20"/>
          <w:lang w:val="en-US" w:eastAsia="zh-CN"/>
        </w:rPr>
        <w:t xml:space="preserve">Proposal 7: The legacy </w:t>
      </w:r>
      <w:r>
        <w:rPr>
          <w:rFonts w:hint="eastAsia" w:ascii="Arial" w:hAnsi="Arial" w:cs="Arial"/>
          <w:b/>
          <w:bCs/>
          <w:i/>
          <w:iCs/>
          <w:sz w:val="20"/>
          <w:szCs w:val="20"/>
          <w:lang w:val="en-US" w:eastAsia="zh-CN"/>
        </w:rPr>
        <w:t>UEInformationRequest/UEInformationResponse</w:t>
      </w:r>
      <w:r>
        <w:rPr>
          <w:rFonts w:hint="eastAsia" w:ascii="Arial" w:hAnsi="Arial" w:cs="Arial"/>
          <w:b/>
          <w:bCs/>
          <w:sz w:val="20"/>
          <w:szCs w:val="20"/>
          <w:lang w:val="en-US" w:eastAsia="zh-CN"/>
        </w:rPr>
        <w:t xml:space="preserve"> message can be reused for on-demand request from the network.</w:t>
      </w:r>
    </w:p>
    <w:p w14:paraId="4029B608">
      <w:pPr>
        <w:numPr>
          <w:ilvl w:val="0"/>
          <w:numId w:val="0"/>
        </w:numPr>
        <w:spacing w:before="120" w:beforeLines="50" w:after="120" w:line="240" w:lineRule="auto"/>
        <w:jc w:val="both"/>
        <w:rPr>
          <w:rFonts w:hint="eastAsia" w:ascii="Arial" w:hAnsi="Arial" w:eastAsia="宋体" w:cs="Arial"/>
          <w:b/>
          <w:bCs/>
          <w:sz w:val="20"/>
          <w:szCs w:val="20"/>
          <w:lang w:val="en-US" w:eastAsia="zh-CN"/>
        </w:rPr>
      </w:pPr>
      <w:r>
        <w:rPr>
          <w:rFonts w:hint="eastAsia" w:ascii="Arial" w:hAnsi="Arial" w:eastAsia="宋体" w:cs="Arial"/>
          <w:b/>
          <w:bCs/>
          <w:sz w:val="20"/>
          <w:szCs w:val="20"/>
          <w:lang w:val="en-US" w:eastAsia="zh-CN"/>
        </w:rPr>
        <w:t>Proposal 8: SRB2 is used to transmit the logged data for training.</w:t>
      </w:r>
    </w:p>
    <w:p w14:paraId="3CEC7D65">
      <w:pPr>
        <w:numPr>
          <w:ilvl w:val="0"/>
          <w:numId w:val="0"/>
        </w:numPr>
        <w:spacing w:before="120" w:beforeLines="50" w:after="120" w:line="260" w:lineRule="exact"/>
        <w:rPr>
          <w:rFonts w:hint="default" w:ascii="Arial" w:hAnsi="Arial" w:cs="Arial"/>
          <w:b/>
          <w:bCs/>
          <w:i w:val="0"/>
          <w:iCs w:val="0"/>
          <w:sz w:val="20"/>
          <w:szCs w:val="20"/>
          <w:lang w:val="en-US" w:eastAsia="zh-CN"/>
        </w:rPr>
      </w:pPr>
      <w:r>
        <w:rPr>
          <w:rFonts w:hint="eastAsia" w:ascii="Arial" w:hAnsi="Arial" w:cs="Arial"/>
          <w:b/>
          <w:bCs/>
          <w:i w:val="0"/>
          <w:iCs w:val="0"/>
          <w:sz w:val="20"/>
          <w:szCs w:val="20"/>
          <w:lang w:val="en-US" w:eastAsia="zh-CN"/>
        </w:rPr>
        <w:t>Proposal 9: The absolute time stamp is used to indicate the time of report, and relative time stamp is used to indicate the time of logging measurement results, similar as logged MDT.</w:t>
      </w:r>
    </w:p>
    <w:p w14:paraId="0653D373">
      <w:pPr>
        <w:spacing w:after="120" w:afterLines="50"/>
        <w:rPr>
          <w:rFonts w:hint="eastAsia" w:ascii="Arial" w:hAnsi="Arial" w:cs="Arial"/>
          <w:b/>
          <w:i/>
          <w:iCs/>
          <w:sz w:val="20"/>
          <w:szCs w:val="20"/>
          <w:u w:val="single"/>
        </w:rPr>
      </w:pPr>
    </w:p>
    <w:p w14:paraId="7BEB98B3">
      <w:pPr>
        <w:spacing w:after="120" w:afterLines="50"/>
        <w:rPr>
          <w:rFonts w:hint="default" w:ascii="Arial" w:hAnsi="Arial" w:cs="Arial" w:eastAsiaTheme="minorEastAsia"/>
          <w:b/>
          <w:i/>
          <w:iCs/>
          <w:sz w:val="20"/>
          <w:szCs w:val="20"/>
          <w:u w:val="single"/>
          <w:lang w:val="en-US" w:eastAsia="zh-CN"/>
        </w:rPr>
      </w:pPr>
      <w:r>
        <w:rPr>
          <w:rFonts w:hint="eastAsia" w:ascii="Arial" w:hAnsi="Arial" w:cs="Arial"/>
          <w:b/>
          <w:i/>
          <w:iCs/>
          <w:sz w:val="20"/>
          <w:szCs w:val="20"/>
          <w:u w:val="single"/>
          <w:lang w:val="en-US" w:eastAsia="zh-CN"/>
        </w:rPr>
        <w:t>Positioning</w:t>
      </w:r>
    </w:p>
    <w:p w14:paraId="4F28E06A">
      <w:pPr>
        <w:numPr>
          <w:ilvl w:val="0"/>
          <w:numId w:val="0"/>
        </w:numPr>
        <w:spacing w:before="120" w:beforeLines="50" w:after="120" w:line="260" w:lineRule="exact"/>
        <w:rPr>
          <w:rFonts w:hint="eastAsia" w:ascii="Arial" w:hAnsi="Arial" w:eastAsia="宋体" w:cs="Arial"/>
          <w:b/>
          <w:bCs/>
          <w:sz w:val="20"/>
          <w:szCs w:val="20"/>
          <w:lang w:val="en-US" w:eastAsia="zh-CN"/>
        </w:rPr>
      </w:pPr>
      <w:r>
        <w:rPr>
          <w:rFonts w:hint="eastAsia" w:ascii="Arial" w:hAnsi="Arial" w:eastAsia="宋体" w:cs="Arial"/>
          <w:b/>
          <w:bCs/>
          <w:sz w:val="20"/>
          <w:szCs w:val="20"/>
          <w:lang w:val="en-US" w:eastAsia="zh-CN"/>
        </w:rPr>
        <w:t>Proposal 10: For positioning with gNB-sided model (case 3a), the enhancement on NRPPa maybe needed to transmit the data (e.g. the label and its related data) from LMF to gNB for model training, the details should be discussed in RAN3.</w:t>
      </w:r>
    </w:p>
    <w:p w14:paraId="03413F66">
      <w:pPr>
        <w:numPr>
          <w:ilvl w:val="0"/>
          <w:numId w:val="0"/>
        </w:numPr>
        <w:spacing w:before="120" w:beforeLines="50" w:after="120" w:line="260" w:lineRule="exact"/>
        <w:rPr>
          <w:rFonts w:hint="default" w:ascii="Arial" w:hAnsi="Arial" w:eastAsia="宋体" w:cs="Arial"/>
          <w:b w:val="0"/>
          <w:bCs w:val="0"/>
          <w:sz w:val="20"/>
          <w:szCs w:val="20"/>
          <w:lang w:val="en-US" w:eastAsia="zh-CN"/>
        </w:rPr>
      </w:pPr>
      <w:r>
        <w:rPr>
          <w:rFonts w:hint="eastAsia" w:ascii="Arial" w:hAnsi="Arial" w:eastAsia="宋体" w:cs="Arial"/>
          <w:b/>
          <w:bCs/>
          <w:sz w:val="20"/>
          <w:szCs w:val="20"/>
          <w:lang w:val="en-US" w:eastAsia="zh-CN"/>
        </w:rPr>
        <w:t>Proposal 11: For positioning with gNB-sided model (case 3a), there is no additional impact on Uu interface.</w:t>
      </w:r>
    </w:p>
    <w:p w14:paraId="7057DECD">
      <w:pPr>
        <w:numPr>
          <w:ilvl w:val="0"/>
          <w:numId w:val="0"/>
        </w:numPr>
        <w:spacing w:before="120" w:beforeLines="50" w:after="120" w:line="260" w:lineRule="exact"/>
        <w:rPr>
          <w:rFonts w:hint="default" w:ascii="Arial" w:hAnsi="Arial" w:eastAsia="宋体" w:cs="Arial"/>
          <w:b/>
          <w:bCs/>
          <w:sz w:val="20"/>
          <w:szCs w:val="20"/>
          <w:lang w:val="en-US" w:eastAsia="zh-CN"/>
        </w:rPr>
      </w:pPr>
      <w:r>
        <w:rPr>
          <w:rFonts w:hint="eastAsia" w:ascii="Arial" w:hAnsi="Arial" w:eastAsia="宋体" w:cs="Arial"/>
          <w:b/>
          <w:bCs/>
          <w:sz w:val="20"/>
          <w:szCs w:val="20"/>
          <w:lang w:val="en-US" w:eastAsia="zh-CN"/>
        </w:rPr>
        <w:t xml:space="preserve">Proposal 12: For positioning with LMF-side model (case 3b), it is up to RAN3 whether to extend the NRPPa protocol to collect data from gNB to LMF for model training. </w:t>
      </w:r>
    </w:p>
    <w:p w14:paraId="6571D829">
      <w:pPr>
        <w:spacing w:before="120" w:beforeLines="50" w:after="120" w:line="260" w:lineRule="exact"/>
        <w:rPr>
          <w:rFonts w:hint="eastAsia" w:ascii="Arial" w:hAnsi="Arial" w:eastAsia="宋体" w:cs="Arial"/>
          <w:b/>
          <w:bCs/>
          <w:sz w:val="20"/>
          <w:szCs w:val="20"/>
          <w:lang w:val="en-US" w:eastAsia="zh-CN"/>
        </w:rPr>
      </w:pPr>
    </w:p>
    <w:p w14:paraId="3C7A7E84">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14:paraId="289051A9">
      <w:pPr>
        <w:widowControl/>
        <w:numPr>
          <w:ilvl w:val="0"/>
          <w:numId w:val="14"/>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GB" w:eastAsia="en-US"/>
        </w:rPr>
        <w:t>Draft_R2_12</w:t>
      </w:r>
      <w:r>
        <w:rPr>
          <w:rFonts w:hint="eastAsia" w:ascii="Arial" w:hAnsi="Arial" w:eastAsia="宋体" w:cs="Arial"/>
          <w:kern w:val="0"/>
          <w:sz w:val="20"/>
          <w:szCs w:val="20"/>
          <w:lang w:val="en-US" w:eastAsia="zh-CN"/>
        </w:rPr>
        <w:t>7</w:t>
      </w:r>
      <w:r>
        <w:rPr>
          <w:rFonts w:hint="eastAsia" w:ascii="Arial" w:hAnsi="Arial" w:eastAsia="宋体" w:cs="Arial"/>
          <w:kern w:val="0"/>
          <w:sz w:val="20"/>
          <w:szCs w:val="20"/>
          <w:lang w:val="en-GB" w:eastAsia="en-US"/>
        </w:rPr>
        <w:t>_Meeting_Report_v</w:t>
      </w:r>
      <w:r>
        <w:rPr>
          <w:rFonts w:hint="eastAsia" w:ascii="Arial" w:hAnsi="Arial" w:eastAsia="宋体" w:cs="Arial"/>
          <w:kern w:val="0"/>
          <w:sz w:val="20"/>
          <w:szCs w:val="20"/>
          <w:lang w:val="en-US" w:eastAsia="zh-CN"/>
        </w:rPr>
        <w:t>1</w:t>
      </w:r>
    </w:p>
    <w:p w14:paraId="1F587135">
      <w:pPr>
        <w:widowControl/>
        <w:numPr>
          <w:ilvl w:val="0"/>
          <w:numId w:val="14"/>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US" w:eastAsia="zh-CN"/>
        </w:rPr>
        <w:t>TS 38.306 NR; User Equipment (UE) radio access capabilities</w:t>
      </w:r>
    </w:p>
    <w:p w14:paraId="61D5A95F">
      <w:pPr>
        <w:widowControl/>
        <w:numPr>
          <w:ilvl w:val="0"/>
          <w:numId w:val="14"/>
        </w:numPr>
        <w:overflowPunct w:val="0"/>
        <w:autoSpaceDE w:val="0"/>
        <w:autoSpaceDN w:val="0"/>
        <w:adjustRightInd w:val="0"/>
        <w:spacing w:after="180"/>
        <w:jc w:val="left"/>
        <w:textAlignment w:val="baseline"/>
        <w:rPr>
          <w:rFonts w:hint="eastAsia" w:ascii="Arial" w:hAnsi="Arial" w:eastAsia="宋体" w:cs="Arial"/>
          <w:kern w:val="0"/>
          <w:sz w:val="20"/>
          <w:szCs w:val="20"/>
          <w:lang w:val="en-GB" w:eastAsia="en-US"/>
        </w:rPr>
      </w:pPr>
      <w:r>
        <w:rPr>
          <w:rFonts w:hint="eastAsia" w:ascii="Arial" w:hAnsi="Arial" w:eastAsia="宋体" w:cs="Arial"/>
          <w:kern w:val="0"/>
          <w:sz w:val="20"/>
          <w:szCs w:val="20"/>
          <w:lang w:val="en-US" w:eastAsia="zh-CN"/>
        </w:rPr>
        <w:t xml:space="preserve">TS 38.331 </w:t>
      </w:r>
      <w:r>
        <w:rPr>
          <w:rFonts w:hint="eastAsia" w:ascii="Arial" w:hAnsi="Arial" w:eastAsia="宋体" w:cs="Arial"/>
          <w:kern w:val="0"/>
          <w:sz w:val="20"/>
          <w:szCs w:val="20"/>
        </w:rPr>
        <w:t>NR; Radio Resource Control (RRC) protocol specification</w:t>
      </w:r>
    </w:p>
    <w:p w14:paraId="367E5DD7">
      <w:pPr>
        <w:widowControl/>
        <w:numPr>
          <w:ilvl w:val="0"/>
          <w:numId w:val="14"/>
        </w:numPr>
        <w:overflowPunct w:val="0"/>
        <w:autoSpaceDE w:val="0"/>
        <w:autoSpaceDN w:val="0"/>
        <w:adjustRightInd w:val="0"/>
        <w:spacing w:after="180"/>
        <w:jc w:val="left"/>
        <w:textAlignment w:val="baseline"/>
        <w:rPr>
          <w:rFonts w:hint="eastAsia" w:ascii="Arial" w:hAnsi="Arial" w:eastAsia="宋体" w:cs="Arial"/>
          <w:kern w:val="0"/>
          <w:sz w:val="20"/>
          <w:szCs w:val="20"/>
          <w:lang w:val="en-GB" w:eastAsia="en-US"/>
        </w:rPr>
      </w:pPr>
      <w:r>
        <w:rPr>
          <w:rFonts w:hint="eastAsia" w:ascii="Arial" w:hAnsi="Arial" w:eastAsia="宋体" w:cs="Arial"/>
          <w:kern w:val="0"/>
          <w:sz w:val="20"/>
          <w:szCs w:val="20"/>
          <w:lang w:val="en-GB" w:eastAsia="en-US"/>
        </w:rPr>
        <w:t>R2-2311720</w:t>
      </w:r>
      <w:r>
        <w:rPr>
          <w:rFonts w:hint="eastAsia" w:ascii="Arial" w:hAnsi="Arial" w:eastAsia="宋体" w:cs="Arial"/>
          <w:kern w:val="0"/>
          <w:sz w:val="20"/>
          <w:szCs w:val="20"/>
        </w:rPr>
        <w:t xml:space="preserve"> </w:t>
      </w:r>
      <w:r>
        <w:rPr>
          <w:rFonts w:hint="eastAsia" w:ascii="Arial" w:hAnsi="Arial" w:eastAsia="宋体" w:cs="Arial"/>
          <w:kern w:val="0"/>
          <w:sz w:val="20"/>
          <w:szCs w:val="20"/>
          <w:lang w:val="en-US" w:eastAsia="zh-CN"/>
        </w:rPr>
        <w:t xml:space="preserve">Reply LS on Data Collection Requirements and Assumptions </w:t>
      </w:r>
      <w:r>
        <w:rPr>
          <w:rFonts w:hint="eastAsia" w:ascii="Arial" w:hAnsi="Arial" w:eastAsia="宋体" w:cs="Arial"/>
          <w:kern w:val="0"/>
          <w:sz w:val="20"/>
          <w:szCs w:val="20"/>
        </w:rPr>
        <w:t>(R1-2310681)</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0C944035"/>
    <w:multiLevelType w:val="multilevel"/>
    <w:tmpl w:val="0C944035"/>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2">
    <w:nsid w:val="112D3086"/>
    <w:multiLevelType w:val="multilevel"/>
    <w:tmpl w:val="112D308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4">
    <w:nsid w:val="2FE22203"/>
    <w:multiLevelType w:val="multilevel"/>
    <w:tmpl w:val="2FE22203"/>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2FEB0EFD"/>
    <w:multiLevelType w:val="multilevel"/>
    <w:tmpl w:val="2FEB0EF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7">
    <w:nsid w:val="39687885"/>
    <w:multiLevelType w:val="multilevel"/>
    <w:tmpl w:val="396878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D301C74"/>
    <w:multiLevelType w:val="multilevel"/>
    <w:tmpl w:val="3D301C74"/>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9">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0">
    <w:nsid w:val="50BED944"/>
    <w:multiLevelType w:val="singleLevel"/>
    <w:tmpl w:val="50BED944"/>
    <w:lvl w:ilvl="0" w:tentative="0">
      <w:start w:val="1"/>
      <w:numFmt w:val="decimal"/>
      <w:lvlText w:val="%1"/>
      <w:lvlJc w:val="left"/>
    </w:lvl>
  </w:abstractNum>
  <w:abstractNum w:abstractNumId="11">
    <w:nsid w:val="59BA7054"/>
    <w:multiLevelType w:val="multilevel"/>
    <w:tmpl w:val="59BA7054"/>
    <w:lvl w:ilvl="0" w:tentative="0">
      <w:start w:val="1"/>
      <w:numFmt w:val="bullet"/>
      <w:lvlText w:val=""/>
      <w:lvlJc w:val="left"/>
      <w:pPr>
        <w:ind w:left="440" w:hanging="440"/>
      </w:pPr>
      <w:rPr>
        <w:rFonts w:hint="default" w:ascii="Symbol" w:hAnsi="Symbo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2">
    <w:nsid w:val="70146DC0"/>
    <w:multiLevelType w:val="multilevel"/>
    <w:tmpl w:val="70146DC0"/>
    <w:lvl w:ilvl="0" w:tentative="0">
      <w:start w:val="1"/>
      <w:numFmt w:val="bullet"/>
      <w:pStyle w:val="33"/>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18D7D2E"/>
    <w:multiLevelType w:val="multilevel"/>
    <w:tmpl w:val="718D7D2E"/>
    <w:lvl w:ilvl="0" w:tentative="0">
      <w:start w:val="1"/>
      <w:numFmt w:val="decimal"/>
      <w:pStyle w:val="31"/>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9"/>
  </w:num>
  <w:num w:numId="2">
    <w:abstractNumId w:val="0"/>
  </w:num>
  <w:num w:numId="3">
    <w:abstractNumId w:val="13"/>
  </w:num>
  <w:num w:numId="4">
    <w:abstractNumId w:val="12"/>
  </w:num>
  <w:num w:numId="5">
    <w:abstractNumId w:val="10"/>
  </w:num>
  <w:num w:numId="6">
    <w:abstractNumId w:val="8"/>
  </w:num>
  <w:num w:numId="7">
    <w:abstractNumId w:val="1"/>
  </w:num>
  <w:num w:numId="8">
    <w:abstractNumId w:val="3"/>
  </w:num>
  <w:num w:numId="9">
    <w:abstractNumId w:val="2"/>
  </w:num>
  <w:num w:numId="10">
    <w:abstractNumId w:val="7"/>
  </w:num>
  <w:num w:numId="11">
    <w:abstractNumId w:val="11"/>
  </w:num>
  <w:num w:numId="12">
    <w:abstractNumId w:val="4"/>
  </w:num>
  <w:num w:numId="13">
    <w:abstractNumId w:val="5"/>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5075A3"/>
    <w:rsid w:val="000126BF"/>
    <w:rsid w:val="00016606"/>
    <w:rsid w:val="000172B0"/>
    <w:rsid w:val="00044F6A"/>
    <w:rsid w:val="00047DFF"/>
    <w:rsid w:val="00065420"/>
    <w:rsid w:val="00077D54"/>
    <w:rsid w:val="000A4474"/>
    <w:rsid w:val="000C2C09"/>
    <w:rsid w:val="000D5C94"/>
    <w:rsid w:val="000D77B1"/>
    <w:rsid w:val="000E0483"/>
    <w:rsid w:val="000F0EDC"/>
    <w:rsid w:val="000F3D5A"/>
    <w:rsid w:val="00196A53"/>
    <w:rsid w:val="001E2496"/>
    <w:rsid w:val="001F7978"/>
    <w:rsid w:val="002215C2"/>
    <w:rsid w:val="00225D63"/>
    <w:rsid w:val="00234354"/>
    <w:rsid w:val="002650A3"/>
    <w:rsid w:val="002713AD"/>
    <w:rsid w:val="00291597"/>
    <w:rsid w:val="002B475C"/>
    <w:rsid w:val="002C2C8E"/>
    <w:rsid w:val="002C3E35"/>
    <w:rsid w:val="002D7AFA"/>
    <w:rsid w:val="003043A7"/>
    <w:rsid w:val="00322F59"/>
    <w:rsid w:val="00327D25"/>
    <w:rsid w:val="00380288"/>
    <w:rsid w:val="00382AE9"/>
    <w:rsid w:val="00393089"/>
    <w:rsid w:val="003C34FD"/>
    <w:rsid w:val="003C3A3A"/>
    <w:rsid w:val="003D5478"/>
    <w:rsid w:val="00423B04"/>
    <w:rsid w:val="004628AE"/>
    <w:rsid w:val="004659EF"/>
    <w:rsid w:val="00480B0B"/>
    <w:rsid w:val="004A2645"/>
    <w:rsid w:val="004B509A"/>
    <w:rsid w:val="004D437A"/>
    <w:rsid w:val="004E4DAD"/>
    <w:rsid w:val="005075A3"/>
    <w:rsid w:val="00523942"/>
    <w:rsid w:val="00525BBB"/>
    <w:rsid w:val="005C3989"/>
    <w:rsid w:val="005E7E07"/>
    <w:rsid w:val="006100C7"/>
    <w:rsid w:val="00610B28"/>
    <w:rsid w:val="006743B8"/>
    <w:rsid w:val="00680623"/>
    <w:rsid w:val="006A4FB5"/>
    <w:rsid w:val="006B0BFB"/>
    <w:rsid w:val="006D1DA8"/>
    <w:rsid w:val="006F2C45"/>
    <w:rsid w:val="006F304E"/>
    <w:rsid w:val="006F6877"/>
    <w:rsid w:val="0074611C"/>
    <w:rsid w:val="007750BC"/>
    <w:rsid w:val="007A2ADF"/>
    <w:rsid w:val="007B28E6"/>
    <w:rsid w:val="007E3904"/>
    <w:rsid w:val="00843904"/>
    <w:rsid w:val="0088799E"/>
    <w:rsid w:val="00894A29"/>
    <w:rsid w:val="008A5A0B"/>
    <w:rsid w:val="008B4719"/>
    <w:rsid w:val="008D110D"/>
    <w:rsid w:val="008E4F97"/>
    <w:rsid w:val="00940BA3"/>
    <w:rsid w:val="00950D36"/>
    <w:rsid w:val="00956A27"/>
    <w:rsid w:val="00982B04"/>
    <w:rsid w:val="009924F0"/>
    <w:rsid w:val="009962E7"/>
    <w:rsid w:val="009D3F27"/>
    <w:rsid w:val="009D6CE1"/>
    <w:rsid w:val="009E00D2"/>
    <w:rsid w:val="009E36A7"/>
    <w:rsid w:val="009E6BC9"/>
    <w:rsid w:val="00A350C4"/>
    <w:rsid w:val="00AC3458"/>
    <w:rsid w:val="00AD67D5"/>
    <w:rsid w:val="00AD727F"/>
    <w:rsid w:val="00B24723"/>
    <w:rsid w:val="00B24F10"/>
    <w:rsid w:val="00B73C33"/>
    <w:rsid w:val="00B846FB"/>
    <w:rsid w:val="00B84BEF"/>
    <w:rsid w:val="00BB6E56"/>
    <w:rsid w:val="00C03FFA"/>
    <w:rsid w:val="00C12245"/>
    <w:rsid w:val="00C21C29"/>
    <w:rsid w:val="00C53226"/>
    <w:rsid w:val="00C95F8C"/>
    <w:rsid w:val="00CD18ED"/>
    <w:rsid w:val="00CF2DAA"/>
    <w:rsid w:val="00D66BFB"/>
    <w:rsid w:val="00D9059D"/>
    <w:rsid w:val="00D95195"/>
    <w:rsid w:val="00DA12B1"/>
    <w:rsid w:val="00DA6656"/>
    <w:rsid w:val="00DE5620"/>
    <w:rsid w:val="00DF3B6E"/>
    <w:rsid w:val="00E00C78"/>
    <w:rsid w:val="00E513DD"/>
    <w:rsid w:val="00E82408"/>
    <w:rsid w:val="00ED765C"/>
    <w:rsid w:val="00EF5EE1"/>
    <w:rsid w:val="00F02DFE"/>
    <w:rsid w:val="00F05AB0"/>
    <w:rsid w:val="00F0760F"/>
    <w:rsid w:val="00F33D13"/>
    <w:rsid w:val="00F34F10"/>
    <w:rsid w:val="00F47D8B"/>
    <w:rsid w:val="00F50B60"/>
    <w:rsid w:val="00F627D0"/>
    <w:rsid w:val="00F841B6"/>
    <w:rsid w:val="00F92EA1"/>
    <w:rsid w:val="00FE674B"/>
    <w:rsid w:val="01041DE1"/>
    <w:rsid w:val="011A4F78"/>
    <w:rsid w:val="01474FCB"/>
    <w:rsid w:val="016C5974"/>
    <w:rsid w:val="016E658B"/>
    <w:rsid w:val="01840FB9"/>
    <w:rsid w:val="019A01ED"/>
    <w:rsid w:val="019A524E"/>
    <w:rsid w:val="01A0498E"/>
    <w:rsid w:val="01A574CF"/>
    <w:rsid w:val="01A60C1B"/>
    <w:rsid w:val="01E966BF"/>
    <w:rsid w:val="02395107"/>
    <w:rsid w:val="029B08C6"/>
    <w:rsid w:val="02A424C3"/>
    <w:rsid w:val="02B05971"/>
    <w:rsid w:val="02B71025"/>
    <w:rsid w:val="02EB09CE"/>
    <w:rsid w:val="02FA6D08"/>
    <w:rsid w:val="0300491B"/>
    <w:rsid w:val="030E32B0"/>
    <w:rsid w:val="03190295"/>
    <w:rsid w:val="034F533A"/>
    <w:rsid w:val="03877AE8"/>
    <w:rsid w:val="038A1F16"/>
    <w:rsid w:val="03E34199"/>
    <w:rsid w:val="041A101A"/>
    <w:rsid w:val="041D6583"/>
    <w:rsid w:val="04525A53"/>
    <w:rsid w:val="045D2E23"/>
    <w:rsid w:val="04861CA0"/>
    <w:rsid w:val="04A12BB9"/>
    <w:rsid w:val="04A37BF0"/>
    <w:rsid w:val="04C752EC"/>
    <w:rsid w:val="04F25DBA"/>
    <w:rsid w:val="04F46CEE"/>
    <w:rsid w:val="04FD5053"/>
    <w:rsid w:val="052159E9"/>
    <w:rsid w:val="054134AD"/>
    <w:rsid w:val="056C27CB"/>
    <w:rsid w:val="0571089C"/>
    <w:rsid w:val="058844D8"/>
    <w:rsid w:val="059A3C03"/>
    <w:rsid w:val="05AD7C3D"/>
    <w:rsid w:val="05B81468"/>
    <w:rsid w:val="05B92B80"/>
    <w:rsid w:val="05CC288F"/>
    <w:rsid w:val="05D37F8D"/>
    <w:rsid w:val="05DD1BF0"/>
    <w:rsid w:val="05FB3716"/>
    <w:rsid w:val="061355E6"/>
    <w:rsid w:val="063A49AE"/>
    <w:rsid w:val="064F5C41"/>
    <w:rsid w:val="069766D8"/>
    <w:rsid w:val="06EA3869"/>
    <w:rsid w:val="06EB297F"/>
    <w:rsid w:val="06F44776"/>
    <w:rsid w:val="071830B3"/>
    <w:rsid w:val="07232B13"/>
    <w:rsid w:val="072E12A5"/>
    <w:rsid w:val="072E4FA9"/>
    <w:rsid w:val="07404B50"/>
    <w:rsid w:val="07474730"/>
    <w:rsid w:val="07554650"/>
    <w:rsid w:val="075F5104"/>
    <w:rsid w:val="079F7BD5"/>
    <w:rsid w:val="07BA03C9"/>
    <w:rsid w:val="07CC0B7F"/>
    <w:rsid w:val="080B0E60"/>
    <w:rsid w:val="08241B14"/>
    <w:rsid w:val="08346E32"/>
    <w:rsid w:val="083D4534"/>
    <w:rsid w:val="083E559C"/>
    <w:rsid w:val="084F3982"/>
    <w:rsid w:val="08675800"/>
    <w:rsid w:val="0870581B"/>
    <w:rsid w:val="08BD2F14"/>
    <w:rsid w:val="08CB51D0"/>
    <w:rsid w:val="08D80E0C"/>
    <w:rsid w:val="08FE04F3"/>
    <w:rsid w:val="090715AF"/>
    <w:rsid w:val="09085B92"/>
    <w:rsid w:val="093223D0"/>
    <w:rsid w:val="09414F75"/>
    <w:rsid w:val="094470AB"/>
    <w:rsid w:val="094E0A7E"/>
    <w:rsid w:val="09516CF9"/>
    <w:rsid w:val="095A6DFD"/>
    <w:rsid w:val="095E3F14"/>
    <w:rsid w:val="09926330"/>
    <w:rsid w:val="09A24612"/>
    <w:rsid w:val="09AD7F7C"/>
    <w:rsid w:val="09B92009"/>
    <w:rsid w:val="09BB3ACA"/>
    <w:rsid w:val="09C411E9"/>
    <w:rsid w:val="09D63199"/>
    <w:rsid w:val="09F124DC"/>
    <w:rsid w:val="09F8719E"/>
    <w:rsid w:val="0A0C359D"/>
    <w:rsid w:val="0A103B20"/>
    <w:rsid w:val="0A1469F1"/>
    <w:rsid w:val="0A173D8A"/>
    <w:rsid w:val="0A373271"/>
    <w:rsid w:val="0A382873"/>
    <w:rsid w:val="0A477D88"/>
    <w:rsid w:val="0A78659D"/>
    <w:rsid w:val="0A7B4003"/>
    <w:rsid w:val="0AA35EAE"/>
    <w:rsid w:val="0AAC7074"/>
    <w:rsid w:val="0AB622D1"/>
    <w:rsid w:val="0ADE2342"/>
    <w:rsid w:val="0AE21792"/>
    <w:rsid w:val="0AF33383"/>
    <w:rsid w:val="0AF55015"/>
    <w:rsid w:val="0AFD0EBC"/>
    <w:rsid w:val="0B054A96"/>
    <w:rsid w:val="0B11078A"/>
    <w:rsid w:val="0B7E67EB"/>
    <w:rsid w:val="0B944661"/>
    <w:rsid w:val="0B96175E"/>
    <w:rsid w:val="0BB81E48"/>
    <w:rsid w:val="0BBD7E79"/>
    <w:rsid w:val="0BE427FA"/>
    <w:rsid w:val="0BF550E1"/>
    <w:rsid w:val="0C202296"/>
    <w:rsid w:val="0C415301"/>
    <w:rsid w:val="0C4853AF"/>
    <w:rsid w:val="0C5466CF"/>
    <w:rsid w:val="0C6C1EE0"/>
    <w:rsid w:val="0C7F3E15"/>
    <w:rsid w:val="0CC05689"/>
    <w:rsid w:val="0CD5224C"/>
    <w:rsid w:val="0CE47224"/>
    <w:rsid w:val="0CED527E"/>
    <w:rsid w:val="0D362C45"/>
    <w:rsid w:val="0D711EBE"/>
    <w:rsid w:val="0D771EA7"/>
    <w:rsid w:val="0DA728AC"/>
    <w:rsid w:val="0DAD175B"/>
    <w:rsid w:val="0DB22432"/>
    <w:rsid w:val="0DDF12DC"/>
    <w:rsid w:val="0DE11C21"/>
    <w:rsid w:val="0DE14E46"/>
    <w:rsid w:val="0E034A3B"/>
    <w:rsid w:val="0E3D4FDF"/>
    <w:rsid w:val="0E4A09D7"/>
    <w:rsid w:val="0E56201A"/>
    <w:rsid w:val="0E6E3C34"/>
    <w:rsid w:val="0EAF327B"/>
    <w:rsid w:val="0EE52C9E"/>
    <w:rsid w:val="0F1D748A"/>
    <w:rsid w:val="0F4E079B"/>
    <w:rsid w:val="0F501F1A"/>
    <w:rsid w:val="0F732504"/>
    <w:rsid w:val="0F782620"/>
    <w:rsid w:val="0F8A7784"/>
    <w:rsid w:val="0F8C51E0"/>
    <w:rsid w:val="0FB25952"/>
    <w:rsid w:val="0FC803F4"/>
    <w:rsid w:val="10090A65"/>
    <w:rsid w:val="1081433D"/>
    <w:rsid w:val="108B22CD"/>
    <w:rsid w:val="10AC6F3F"/>
    <w:rsid w:val="10C31C47"/>
    <w:rsid w:val="10C64AE7"/>
    <w:rsid w:val="10E107B7"/>
    <w:rsid w:val="10F04644"/>
    <w:rsid w:val="110171B2"/>
    <w:rsid w:val="11171B9A"/>
    <w:rsid w:val="111F30A5"/>
    <w:rsid w:val="11900A86"/>
    <w:rsid w:val="119B1CE5"/>
    <w:rsid w:val="11D44799"/>
    <w:rsid w:val="11D65F4E"/>
    <w:rsid w:val="11E4251C"/>
    <w:rsid w:val="11E76EE9"/>
    <w:rsid w:val="11F2137A"/>
    <w:rsid w:val="1236016D"/>
    <w:rsid w:val="123900DB"/>
    <w:rsid w:val="123B6254"/>
    <w:rsid w:val="12527EEB"/>
    <w:rsid w:val="125C6826"/>
    <w:rsid w:val="12934DEA"/>
    <w:rsid w:val="12A73823"/>
    <w:rsid w:val="12B04029"/>
    <w:rsid w:val="12BD5E5F"/>
    <w:rsid w:val="12DA4242"/>
    <w:rsid w:val="130A48C3"/>
    <w:rsid w:val="132303DD"/>
    <w:rsid w:val="1331496D"/>
    <w:rsid w:val="13392934"/>
    <w:rsid w:val="135167B1"/>
    <w:rsid w:val="13583AE1"/>
    <w:rsid w:val="1358580E"/>
    <w:rsid w:val="135A6265"/>
    <w:rsid w:val="136A73BB"/>
    <w:rsid w:val="136F4921"/>
    <w:rsid w:val="13742A14"/>
    <w:rsid w:val="139327D8"/>
    <w:rsid w:val="13A46671"/>
    <w:rsid w:val="13D36FA4"/>
    <w:rsid w:val="13FA68E0"/>
    <w:rsid w:val="14256000"/>
    <w:rsid w:val="1448292D"/>
    <w:rsid w:val="1466786F"/>
    <w:rsid w:val="147E654B"/>
    <w:rsid w:val="14A668A4"/>
    <w:rsid w:val="14A9029F"/>
    <w:rsid w:val="14B83431"/>
    <w:rsid w:val="14E836E8"/>
    <w:rsid w:val="14F142C3"/>
    <w:rsid w:val="150B6FBF"/>
    <w:rsid w:val="152B1104"/>
    <w:rsid w:val="154A66B0"/>
    <w:rsid w:val="159C7EDD"/>
    <w:rsid w:val="15BE553B"/>
    <w:rsid w:val="15E03E14"/>
    <w:rsid w:val="15E4550B"/>
    <w:rsid w:val="15E9482E"/>
    <w:rsid w:val="161147C5"/>
    <w:rsid w:val="16327956"/>
    <w:rsid w:val="16473F31"/>
    <w:rsid w:val="16653D7B"/>
    <w:rsid w:val="166A7A3B"/>
    <w:rsid w:val="16725680"/>
    <w:rsid w:val="168B0BBD"/>
    <w:rsid w:val="169C3C7F"/>
    <w:rsid w:val="16A3322F"/>
    <w:rsid w:val="16C120B7"/>
    <w:rsid w:val="16CD3708"/>
    <w:rsid w:val="16D51B5B"/>
    <w:rsid w:val="16D7712F"/>
    <w:rsid w:val="176078E0"/>
    <w:rsid w:val="17654071"/>
    <w:rsid w:val="17704CFB"/>
    <w:rsid w:val="17916AE6"/>
    <w:rsid w:val="179D12F3"/>
    <w:rsid w:val="17AE49E6"/>
    <w:rsid w:val="17CD5A7B"/>
    <w:rsid w:val="17D735CF"/>
    <w:rsid w:val="17FF4932"/>
    <w:rsid w:val="18035F6A"/>
    <w:rsid w:val="1830753E"/>
    <w:rsid w:val="18550589"/>
    <w:rsid w:val="185C58E1"/>
    <w:rsid w:val="186366A3"/>
    <w:rsid w:val="187A66B9"/>
    <w:rsid w:val="187F3411"/>
    <w:rsid w:val="1881324F"/>
    <w:rsid w:val="18A246AF"/>
    <w:rsid w:val="18E21372"/>
    <w:rsid w:val="18F32680"/>
    <w:rsid w:val="18F80417"/>
    <w:rsid w:val="18FE1274"/>
    <w:rsid w:val="192F165F"/>
    <w:rsid w:val="195230E4"/>
    <w:rsid w:val="19565B90"/>
    <w:rsid w:val="195E3B99"/>
    <w:rsid w:val="196E4FB3"/>
    <w:rsid w:val="19C257AA"/>
    <w:rsid w:val="19C51AEA"/>
    <w:rsid w:val="19CE1BFF"/>
    <w:rsid w:val="19E27BFB"/>
    <w:rsid w:val="19F1587E"/>
    <w:rsid w:val="1A1C0B7B"/>
    <w:rsid w:val="1A40430B"/>
    <w:rsid w:val="1A4C49E1"/>
    <w:rsid w:val="1A9A126F"/>
    <w:rsid w:val="1AA4601E"/>
    <w:rsid w:val="1ABB3621"/>
    <w:rsid w:val="1ABF7C53"/>
    <w:rsid w:val="1ADE6206"/>
    <w:rsid w:val="1AE14356"/>
    <w:rsid w:val="1AE7452F"/>
    <w:rsid w:val="1AEF3B61"/>
    <w:rsid w:val="1B073464"/>
    <w:rsid w:val="1B0B332F"/>
    <w:rsid w:val="1B5E2B2B"/>
    <w:rsid w:val="1B6202DE"/>
    <w:rsid w:val="1BA06FEE"/>
    <w:rsid w:val="1BB22919"/>
    <w:rsid w:val="1BF91505"/>
    <w:rsid w:val="1C064DE2"/>
    <w:rsid w:val="1C263D41"/>
    <w:rsid w:val="1C4246FD"/>
    <w:rsid w:val="1C6673DB"/>
    <w:rsid w:val="1C6A1BB2"/>
    <w:rsid w:val="1C726F5B"/>
    <w:rsid w:val="1C8658F9"/>
    <w:rsid w:val="1C954CA8"/>
    <w:rsid w:val="1CC529AF"/>
    <w:rsid w:val="1CC914E2"/>
    <w:rsid w:val="1D031FA5"/>
    <w:rsid w:val="1D700D25"/>
    <w:rsid w:val="1DA1677A"/>
    <w:rsid w:val="1DA90A2F"/>
    <w:rsid w:val="1DD6639F"/>
    <w:rsid w:val="1DE55E1B"/>
    <w:rsid w:val="1DEA2636"/>
    <w:rsid w:val="1E015BFF"/>
    <w:rsid w:val="1E261FEC"/>
    <w:rsid w:val="1E4A5D6E"/>
    <w:rsid w:val="1E5D014C"/>
    <w:rsid w:val="1E625159"/>
    <w:rsid w:val="1E6C052F"/>
    <w:rsid w:val="1E8017FF"/>
    <w:rsid w:val="1E8A1312"/>
    <w:rsid w:val="1EB31B66"/>
    <w:rsid w:val="1EB529F8"/>
    <w:rsid w:val="1EC035D7"/>
    <w:rsid w:val="1EC53CB0"/>
    <w:rsid w:val="1ED74678"/>
    <w:rsid w:val="1EF17AB3"/>
    <w:rsid w:val="1F0A0750"/>
    <w:rsid w:val="1F1F4D17"/>
    <w:rsid w:val="1F630DDF"/>
    <w:rsid w:val="1F8A3BD5"/>
    <w:rsid w:val="1FE63CE8"/>
    <w:rsid w:val="20254C14"/>
    <w:rsid w:val="204C2272"/>
    <w:rsid w:val="205E7BE3"/>
    <w:rsid w:val="208A18F1"/>
    <w:rsid w:val="208D63E6"/>
    <w:rsid w:val="20943FF9"/>
    <w:rsid w:val="20A506BA"/>
    <w:rsid w:val="20F63843"/>
    <w:rsid w:val="20FE18B0"/>
    <w:rsid w:val="21376EA4"/>
    <w:rsid w:val="213E3F71"/>
    <w:rsid w:val="21513A3C"/>
    <w:rsid w:val="215A766D"/>
    <w:rsid w:val="21667FDB"/>
    <w:rsid w:val="218A4F7E"/>
    <w:rsid w:val="219C1508"/>
    <w:rsid w:val="21FA5606"/>
    <w:rsid w:val="22046DF1"/>
    <w:rsid w:val="220A4513"/>
    <w:rsid w:val="22121299"/>
    <w:rsid w:val="222E6DF6"/>
    <w:rsid w:val="229575D0"/>
    <w:rsid w:val="22B32E1B"/>
    <w:rsid w:val="22CD6AE0"/>
    <w:rsid w:val="22F37B3A"/>
    <w:rsid w:val="236906A5"/>
    <w:rsid w:val="2375481A"/>
    <w:rsid w:val="23765F46"/>
    <w:rsid w:val="23797368"/>
    <w:rsid w:val="23822B30"/>
    <w:rsid w:val="23B06B01"/>
    <w:rsid w:val="23B828A0"/>
    <w:rsid w:val="23E96088"/>
    <w:rsid w:val="23EE120B"/>
    <w:rsid w:val="23F8406C"/>
    <w:rsid w:val="2403705B"/>
    <w:rsid w:val="24066BDB"/>
    <w:rsid w:val="24110B80"/>
    <w:rsid w:val="24453591"/>
    <w:rsid w:val="24572D18"/>
    <w:rsid w:val="24841C1D"/>
    <w:rsid w:val="249D5D77"/>
    <w:rsid w:val="24B445FB"/>
    <w:rsid w:val="24BD6504"/>
    <w:rsid w:val="24C74F14"/>
    <w:rsid w:val="24D708E2"/>
    <w:rsid w:val="24DB0B9B"/>
    <w:rsid w:val="24E53CDB"/>
    <w:rsid w:val="24FB6730"/>
    <w:rsid w:val="251B6F7E"/>
    <w:rsid w:val="252515BC"/>
    <w:rsid w:val="252D2E7E"/>
    <w:rsid w:val="25787665"/>
    <w:rsid w:val="258969EA"/>
    <w:rsid w:val="25F5013E"/>
    <w:rsid w:val="262A1C6D"/>
    <w:rsid w:val="262F627F"/>
    <w:rsid w:val="26315BFD"/>
    <w:rsid w:val="264659B5"/>
    <w:rsid w:val="264A4407"/>
    <w:rsid w:val="26537397"/>
    <w:rsid w:val="26590269"/>
    <w:rsid w:val="2660154C"/>
    <w:rsid w:val="26A276B5"/>
    <w:rsid w:val="26BA68C7"/>
    <w:rsid w:val="26BB1824"/>
    <w:rsid w:val="26BF5E40"/>
    <w:rsid w:val="26F237CD"/>
    <w:rsid w:val="27057CC8"/>
    <w:rsid w:val="2719754A"/>
    <w:rsid w:val="2725126B"/>
    <w:rsid w:val="274C2D2B"/>
    <w:rsid w:val="27525FCD"/>
    <w:rsid w:val="2796594E"/>
    <w:rsid w:val="27BC024E"/>
    <w:rsid w:val="27BE3E87"/>
    <w:rsid w:val="27C17045"/>
    <w:rsid w:val="27C35275"/>
    <w:rsid w:val="28243568"/>
    <w:rsid w:val="283167B4"/>
    <w:rsid w:val="285C5812"/>
    <w:rsid w:val="28682A73"/>
    <w:rsid w:val="289B334C"/>
    <w:rsid w:val="289D577F"/>
    <w:rsid w:val="28AA1F85"/>
    <w:rsid w:val="28E404D9"/>
    <w:rsid w:val="28F4407D"/>
    <w:rsid w:val="291138C7"/>
    <w:rsid w:val="29120E51"/>
    <w:rsid w:val="29713020"/>
    <w:rsid w:val="29733D9F"/>
    <w:rsid w:val="29921F81"/>
    <w:rsid w:val="29A61468"/>
    <w:rsid w:val="29BE37C1"/>
    <w:rsid w:val="29DD03DE"/>
    <w:rsid w:val="2A5039D7"/>
    <w:rsid w:val="2A665688"/>
    <w:rsid w:val="2A7D74CC"/>
    <w:rsid w:val="2A7F4563"/>
    <w:rsid w:val="2AB72260"/>
    <w:rsid w:val="2B02766B"/>
    <w:rsid w:val="2B1627CA"/>
    <w:rsid w:val="2B3959B8"/>
    <w:rsid w:val="2B3F4C1F"/>
    <w:rsid w:val="2B452058"/>
    <w:rsid w:val="2B4D1216"/>
    <w:rsid w:val="2B58393A"/>
    <w:rsid w:val="2B8030A5"/>
    <w:rsid w:val="2BE06712"/>
    <w:rsid w:val="2C002162"/>
    <w:rsid w:val="2C095760"/>
    <w:rsid w:val="2C0D429C"/>
    <w:rsid w:val="2C4016E9"/>
    <w:rsid w:val="2C6E581C"/>
    <w:rsid w:val="2C717596"/>
    <w:rsid w:val="2C7A7AA0"/>
    <w:rsid w:val="2CA30589"/>
    <w:rsid w:val="2CB57056"/>
    <w:rsid w:val="2CC31B0E"/>
    <w:rsid w:val="2D146D2C"/>
    <w:rsid w:val="2D155FB3"/>
    <w:rsid w:val="2D3B7B03"/>
    <w:rsid w:val="2D440581"/>
    <w:rsid w:val="2D470656"/>
    <w:rsid w:val="2D493ADC"/>
    <w:rsid w:val="2D55451C"/>
    <w:rsid w:val="2D5B158F"/>
    <w:rsid w:val="2D865C52"/>
    <w:rsid w:val="2DD85F0E"/>
    <w:rsid w:val="2DF144D1"/>
    <w:rsid w:val="2DFB6036"/>
    <w:rsid w:val="2E037C91"/>
    <w:rsid w:val="2E3472AB"/>
    <w:rsid w:val="2E3D031C"/>
    <w:rsid w:val="2E916CDE"/>
    <w:rsid w:val="2EA86437"/>
    <w:rsid w:val="2EB103B1"/>
    <w:rsid w:val="2F0F71E6"/>
    <w:rsid w:val="2F125BF3"/>
    <w:rsid w:val="2F13163F"/>
    <w:rsid w:val="2F383A5C"/>
    <w:rsid w:val="2F3A7B8C"/>
    <w:rsid w:val="2F4559EE"/>
    <w:rsid w:val="2F5954A4"/>
    <w:rsid w:val="2F742945"/>
    <w:rsid w:val="2F9D4B14"/>
    <w:rsid w:val="2FBE43F5"/>
    <w:rsid w:val="2FC53C32"/>
    <w:rsid w:val="2FC55B9D"/>
    <w:rsid w:val="2FD157C7"/>
    <w:rsid w:val="300A115E"/>
    <w:rsid w:val="301241C3"/>
    <w:rsid w:val="30296BB8"/>
    <w:rsid w:val="308811B6"/>
    <w:rsid w:val="30881C59"/>
    <w:rsid w:val="309D4655"/>
    <w:rsid w:val="30C026F3"/>
    <w:rsid w:val="30EA4040"/>
    <w:rsid w:val="315423FA"/>
    <w:rsid w:val="315B7AEC"/>
    <w:rsid w:val="31710789"/>
    <w:rsid w:val="317503B0"/>
    <w:rsid w:val="31D53C4D"/>
    <w:rsid w:val="31E3590E"/>
    <w:rsid w:val="31F2254D"/>
    <w:rsid w:val="31F71A11"/>
    <w:rsid w:val="31FE12AB"/>
    <w:rsid w:val="320E382B"/>
    <w:rsid w:val="321A185A"/>
    <w:rsid w:val="321B4537"/>
    <w:rsid w:val="32513A45"/>
    <w:rsid w:val="3253673D"/>
    <w:rsid w:val="325B682D"/>
    <w:rsid w:val="32B50B2C"/>
    <w:rsid w:val="32C84DFE"/>
    <w:rsid w:val="32D7610D"/>
    <w:rsid w:val="32FA3DAF"/>
    <w:rsid w:val="332D5F33"/>
    <w:rsid w:val="3337740D"/>
    <w:rsid w:val="337F1035"/>
    <w:rsid w:val="33805DA1"/>
    <w:rsid w:val="338C56E4"/>
    <w:rsid w:val="33934B2E"/>
    <w:rsid w:val="339441CF"/>
    <w:rsid w:val="33B60D2B"/>
    <w:rsid w:val="33C37075"/>
    <w:rsid w:val="34062C68"/>
    <w:rsid w:val="341C738A"/>
    <w:rsid w:val="341E030F"/>
    <w:rsid w:val="34234173"/>
    <w:rsid w:val="344B3744"/>
    <w:rsid w:val="348F0A80"/>
    <w:rsid w:val="349158FD"/>
    <w:rsid w:val="34A131A3"/>
    <w:rsid w:val="34A26022"/>
    <w:rsid w:val="34B0567F"/>
    <w:rsid w:val="34B443F6"/>
    <w:rsid w:val="34E12F4E"/>
    <w:rsid w:val="34EB31AA"/>
    <w:rsid w:val="34EC41DF"/>
    <w:rsid w:val="35040A33"/>
    <w:rsid w:val="351A24AD"/>
    <w:rsid w:val="35273121"/>
    <w:rsid w:val="352F69D9"/>
    <w:rsid w:val="354E123E"/>
    <w:rsid w:val="354F2AD2"/>
    <w:rsid w:val="358D6E3D"/>
    <w:rsid w:val="35A70F55"/>
    <w:rsid w:val="35C36B07"/>
    <w:rsid w:val="35C60438"/>
    <w:rsid w:val="360D6591"/>
    <w:rsid w:val="361F2C5E"/>
    <w:rsid w:val="363976F7"/>
    <w:rsid w:val="36681B72"/>
    <w:rsid w:val="366E68DA"/>
    <w:rsid w:val="36BD137C"/>
    <w:rsid w:val="36CB1803"/>
    <w:rsid w:val="36E02E58"/>
    <w:rsid w:val="36F84B57"/>
    <w:rsid w:val="3751494E"/>
    <w:rsid w:val="375A24EA"/>
    <w:rsid w:val="37757EA8"/>
    <w:rsid w:val="3784494C"/>
    <w:rsid w:val="37BC00E4"/>
    <w:rsid w:val="37C859C7"/>
    <w:rsid w:val="37D62F7A"/>
    <w:rsid w:val="37E40AE8"/>
    <w:rsid w:val="3801173C"/>
    <w:rsid w:val="38060F79"/>
    <w:rsid w:val="38077FF1"/>
    <w:rsid w:val="384E5649"/>
    <w:rsid w:val="38746ABC"/>
    <w:rsid w:val="38761BD7"/>
    <w:rsid w:val="38A92B31"/>
    <w:rsid w:val="38AE69D5"/>
    <w:rsid w:val="38C63525"/>
    <w:rsid w:val="38CC58A6"/>
    <w:rsid w:val="38FC0060"/>
    <w:rsid w:val="38FC32F5"/>
    <w:rsid w:val="38FD17EE"/>
    <w:rsid w:val="39030A9D"/>
    <w:rsid w:val="39113643"/>
    <w:rsid w:val="393A37CB"/>
    <w:rsid w:val="393B35FD"/>
    <w:rsid w:val="396866FD"/>
    <w:rsid w:val="39741B90"/>
    <w:rsid w:val="397E03C2"/>
    <w:rsid w:val="39BB3AC3"/>
    <w:rsid w:val="39BC3B6C"/>
    <w:rsid w:val="39DF043A"/>
    <w:rsid w:val="39FE32B3"/>
    <w:rsid w:val="39FF59A7"/>
    <w:rsid w:val="3A06128C"/>
    <w:rsid w:val="3A070DC0"/>
    <w:rsid w:val="3A1C1961"/>
    <w:rsid w:val="3A2065C7"/>
    <w:rsid w:val="3A213653"/>
    <w:rsid w:val="3A3315EB"/>
    <w:rsid w:val="3A34378D"/>
    <w:rsid w:val="3A36160B"/>
    <w:rsid w:val="3A5B3A12"/>
    <w:rsid w:val="3A6F51D2"/>
    <w:rsid w:val="3AA50AA5"/>
    <w:rsid w:val="3AEB3C21"/>
    <w:rsid w:val="3AFB6043"/>
    <w:rsid w:val="3B041E40"/>
    <w:rsid w:val="3B191C47"/>
    <w:rsid w:val="3B205806"/>
    <w:rsid w:val="3B295FAA"/>
    <w:rsid w:val="3B5C6A72"/>
    <w:rsid w:val="3B7F2CAA"/>
    <w:rsid w:val="3BEB3716"/>
    <w:rsid w:val="3C1A13DF"/>
    <w:rsid w:val="3C3A4FEB"/>
    <w:rsid w:val="3C4F0EBB"/>
    <w:rsid w:val="3C635FA0"/>
    <w:rsid w:val="3C8659AE"/>
    <w:rsid w:val="3C942B7F"/>
    <w:rsid w:val="3CA66A58"/>
    <w:rsid w:val="3CB269B6"/>
    <w:rsid w:val="3CBE3C7C"/>
    <w:rsid w:val="3CD165D4"/>
    <w:rsid w:val="3CE32014"/>
    <w:rsid w:val="3CE6704E"/>
    <w:rsid w:val="3CF316DB"/>
    <w:rsid w:val="3D39355A"/>
    <w:rsid w:val="3D3C44DD"/>
    <w:rsid w:val="3D5001A7"/>
    <w:rsid w:val="3D5B3EF0"/>
    <w:rsid w:val="3D5C58DF"/>
    <w:rsid w:val="3D9214B7"/>
    <w:rsid w:val="3DA65146"/>
    <w:rsid w:val="3DB23DD9"/>
    <w:rsid w:val="3DF57F08"/>
    <w:rsid w:val="3E143052"/>
    <w:rsid w:val="3E390C78"/>
    <w:rsid w:val="3E500D27"/>
    <w:rsid w:val="3E573ADE"/>
    <w:rsid w:val="3EA55E90"/>
    <w:rsid w:val="3ECD0998"/>
    <w:rsid w:val="3ED508CA"/>
    <w:rsid w:val="3EF25E2A"/>
    <w:rsid w:val="3F1109BC"/>
    <w:rsid w:val="3F1B7587"/>
    <w:rsid w:val="3F805B16"/>
    <w:rsid w:val="3F946522"/>
    <w:rsid w:val="3F9B06C8"/>
    <w:rsid w:val="3FA42170"/>
    <w:rsid w:val="3FAF36DB"/>
    <w:rsid w:val="3FE1257F"/>
    <w:rsid w:val="3FF5218F"/>
    <w:rsid w:val="4050373A"/>
    <w:rsid w:val="405759DA"/>
    <w:rsid w:val="406A14B3"/>
    <w:rsid w:val="407C15D8"/>
    <w:rsid w:val="40837754"/>
    <w:rsid w:val="409D1B0D"/>
    <w:rsid w:val="40F97CA8"/>
    <w:rsid w:val="410B29F4"/>
    <w:rsid w:val="41171B69"/>
    <w:rsid w:val="41200E85"/>
    <w:rsid w:val="412C1F7C"/>
    <w:rsid w:val="41415E9E"/>
    <w:rsid w:val="414913C8"/>
    <w:rsid w:val="41883A8E"/>
    <w:rsid w:val="418A60B4"/>
    <w:rsid w:val="41943621"/>
    <w:rsid w:val="41B370D6"/>
    <w:rsid w:val="41B71371"/>
    <w:rsid w:val="42212582"/>
    <w:rsid w:val="423B574B"/>
    <w:rsid w:val="42625CA5"/>
    <w:rsid w:val="42755843"/>
    <w:rsid w:val="42794CE2"/>
    <w:rsid w:val="428704C4"/>
    <w:rsid w:val="42C70708"/>
    <w:rsid w:val="42E0254C"/>
    <w:rsid w:val="42F40D67"/>
    <w:rsid w:val="43024C98"/>
    <w:rsid w:val="43066FF8"/>
    <w:rsid w:val="43083995"/>
    <w:rsid w:val="430B231C"/>
    <w:rsid w:val="43146FF6"/>
    <w:rsid w:val="433204F8"/>
    <w:rsid w:val="433C3AAA"/>
    <w:rsid w:val="4345322A"/>
    <w:rsid w:val="434C6DAF"/>
    <w:rsid w:val="43580CE8"/>
    <w:rsid w:val="43600192"/>
    <w:rsid w:val="43964A1C"/>
    <w:rsid w:val="43E22B61"/>
    <w:rsid w:val="44031DB9"/>
    <w:rsid w:val="447943E7"/>
    <w:rsid w:val="448C57E4"/>
    <w:rsid w:val="44B41FCD"/>
    <w:rsid w:val="44F46625"/>
    <w:rsid w:val="44F52628"/>
    <w:rsid w:val="454722BC"/>
    <w:rsid w:val="454C191C"/>
    <w:rsid w:val="45547C0E"/>
    <w:rsid w:val="4556652D"/>
    <w:rsid w:val="45861251"/>
    <w:rsid w:val="459911EE"/>
    <w:rsid w:val="4599227F"/>
    <w:rsid w:val="45BE024B"/>
    <w:rsid w:val="45BE2AD4"/>
    <w:rsid w:val="45C2437E"/>
    <w:rsid w:val="45EA2721"/>
    <w:rsid w:val="460A0745"/>
    <w:rsid w:val="46300B95"/>
    <w:rsid w:val="463A3C1C"/>
    <w:rsid w:val="466E6ADA"/>
    <w:rsid w:val="4699240B"/>
    <w:rsid w:val="46B7014A"/>
    <w:rsid w:val="46ED5CA5"/>
    <w:rsid w:val="46FE4C6E"/>
    <w:rsid w:val="47062AB6"/>
    <w:rsid w:val="471A6376"/>
    <w:rsid w:val="472D53FB"/>
    <w:rsid w:val="475A659D"/>
    <w:rsid w:val="476207DA"/>
    <w:rsid w:val="47765740"/>
    <w:rsid w:val="47944B93"/>
    <w:rsid w:val="47B14EAE"/>
    <w:rsid w:val="47C00B3A"/>
    <w:rsid w:val="47C04462"/>
    <w:rsid w:val="47C96CD1"/>
    <w:rsid w:val="47D40048"/>
    <w:rsid w:val="47D84F8A"/>
    <w:rsid w:val="47DB6ABB"/>
    <w:rsid w:val="48083448"/>
    <w:rsid w:val="48460696"/>
    <w:rsid w:val="48690DD9"/>
    <w:rsid w:val="486B54EB"/>
    <w:rsid w:val="4887121F"/>
    <w:rsid w:val="48F702B1"/>
    <w:rsid w:val="49147605"/>
    <w:rsid w:val="491C7E92"/>
    <w:rsid w:val="492910E2"/>
    <w:rsid w:val="492E569F"/>
    <w:rsid w:val="494A1301"/>
    <w:rsid w:val="494B446A"/>
    <w:rsid w:val="494E1C27"/>
    <w:rsid w:val="4960323C"/>
    <w:rsid w:val="49616B54"/>
    <w:rsid w:val="497F0713"/>
    <w:rsid w:val="49A36AB0"/>
    <w:rsid w:val="49A97E85"/>
    <w:rsid w:val="49D2118A"/>
    <w:rsid w:val="49D92DDD"/>
    <w:rsid w:val="49EF5321"/>
    <w:rsid w:val="4A347F6C"/>
    <w:rsid w:val="4A444508"/>
    <w:rsid w:val="4A456A14"/>
    <w:rsid w:val="4A66451F"/>
    <w:rsid w:val="4A9D0D79"/>
    <w:rsid w:val="4A9D45B8"/>
    <w:rsid w:val="4A9F545E"/>
    <w:rsid w:val="4AAB056F"/>
    <w:rsid w:val="4B08573B"/>
    <w:rsid w:val="4B626F00"/>
    <w:rsid w:val="4B743C77"/>
    <w:rsid w:val="4B8B339F"/>
    <w:rsid w:val="4BC53B5B"/>
    <w:rsid w:val="4BC802A5"/>
    <w:rsid w:val="4BE53FE4"/>
    <w:rsid w:val="4C1242C5"/>
    <w:rsid w:val="4C340FD6"/>
    <w:rsid w:val="4C4A39CC"/>
    <w:rsid w:val="4C4D4AF8"/>
    <w:rsid w:val="4C6954C4"/>
    <w:rsid w:val="4C744BB3"/>
    <w:rsid w:val="4C851F32"/>
    <w:rsid w:val="4C964045"/>
    <w:rsid w:val="4CE2366D"/>
    <w:rsid w:val="4CF364F1"/>
    <w:rsid w:val="4D010671"/>
    <w:rsid w:val="4D316B33"/>
    <w:rsid w:val="4D352FBB"/>
    <w:rsid w:val="4D743D8A"/>
    <w:rsid w:val="4D9A14C4"/>
    <w:rsid w:val="4DA96C4E"/>
    <w:rsid w:val="4DCD4142"/>
    <w:rsid w:val="4DF70A62"/>
    <w:rsid w:val="4E0614E3"/>
    <w:rsid w:val="4E2452B7"/>
    <w:rsid w:val="4E407867"/>
    <w:rsid w:val="4E695109"/>
    <w:rsid w:val="4E92190F"/>
    <w:rsid w:val="4E9C3B92"/>
    <w:rsid w:val="4E9D6524"/>
    <w:rsid w:val="4EAD1AF9"/>
    <w:rsid w:val="4EE23C1E"/>
    <w:rsid w:val="4F1913AC"/>
    <w:rsid w:val="4F4F5A65"/>
    <w:rsid w:val="4F6426A9"/>
    <w:rsid w:val="4F7A31F5"/>
    <w:rsid w:val="4F8E1D0C"/>
    <w:rsid w:val="4FB3028B"/>
    <w:rsid w:val="4FB77179"/>
    <w:rsid w:val="4FB92CDA"/>
    <w:rsid w:val="4FE775A6"/>
    <w:rsid w:val="4FF54231"/>
    <w:rsid w:val="50077447"/>
    <w:rsid w:val="50115E97"/>
    <w:rsid w:val="502F4C40"/>
    <w:rsid w:val="50343739"/>
    <w:rsid w:val="50623802"/>
    <w:rsid w:val="50652E94"/>
    <w:rsid w:val="508700F4"/>
    <w:rsid w:val="50A970CD"/>
    <w:rsid w:val="50C72D83"/>
    <w:rsid w:val="50DA2757"/>
    <w:rsid w:val="50EC664D"/>
    <w:rsid w:val="51467324"/>
    <w:rsid w:val="5163596F"/>
    <w:rsid w:val="51642065"/>
    <w:rsid w:val="51895F2D"/>
    <w:rsid w:val="51A0460E"/>
    <w:rsid w:val="51A60230"/>
    <w:rsid w:val="51A823AB"/>
    <w:rsid w:val="51CC648B"/>
    <w:rsid w:val="51E202B2"/>
    <w:rsid w:val="51FC6565"/>
    <w:rsid w:val="52030FE6"/>
    <w:rsid w:val="52065DA2"/>
    <w:rsid w:val="52294007"/>
    <w:rsid w:val="522E4D5D"/>
    <w:rsid w:val="524A71B5"/>
    <w:rsid w:val="52642695"/>
    <w:rsid w:val="5279373F"/>
    <w:rsid w:val="528B1069"/>
    <w:rsid w:val="528D5BD8"/>
    <w:rsid w:val="528F0DD4"/>
    <w:rsid w:val="52930D7F"/>
    <w:rsid w:val="5296438C"/>
    <w:rsid w:val="52B93795"/>
    <w:rsid w:val="52D33C96"/>
    <w:rsid w:val="530F2B4C"/>
    <w:rsid w:val="53144C5A"/>
    <w:rsid w:val="53186F98"/>
    <w:rsid w:val="53AE0CB6"/>
    <w:rsid w:val="53BE69F0"/>
    <w:rsid w:val="53D170F4"/>
    <w:rsid w:val="53E1541E"/>
    <w:rsid w:val="5434742F"/>
    <w:rsid w:val="544F1C50"/>
    <w:rsid w:val="54606A92"/>
    <w:rsid w:val="54611A81"/>
    <w:rsid w:val="54DC110F"/>
    <w:rsid w:val="55563FAE"/>
    <w:rsid w:val="55671A8F"/>
    <w:rsid w:val="557D655D"/>
    <w:rsid w:val="55846FDD"/>
    <w:rsid w:val="558933C3"/>
    <w:rsid w:val="55B177EA"/>
    <w:rsid w:val="55CD48C4"/>
    <w:rsid w:val="560C425A"/>
    <w:rsid w:val="56116B32"/>
    <w:rsid w:val="562365CA"/>
    <w:rsid w:val="56340430"/>
    <w:rsid w:val="563A60ED"/>
    <w:rsid w:val="56581D59"/>
    <w:rsid w:val="568502CA"/>
    <w:rsid w:val="56B0773B"/>
    <w:rsid w:val="56C254B7"/>
    <w:rsid w:val="5709588E"/>
    <w:rsid w:val="570C5D6D"/>
    <w:rsid w:val="571760EF"/>
    <w:rsid w:val="571F7ADE"/>
    <w:rsid w:val="5778214B"/>
    <w:rsid w:val="57792910"/>
    <w:rsid w:val="5781180D"/>
    <w:rsid w:val="57C77D46"/>
    <w:rsid w:val="57CF4F1B"/>
    <w:rsid w:val="58201757"/>
    <w:rsid w:val="58514364"/>
    <w:rsid w:val="585818C8"/>
    <w:rsid w:val="58602168"/>
    <w:rsid w:val="5860738B"/>
    <w:rsid w:val="58AB4E89"/>
    <w:rsid w:val="58AD7356"/>
    <w:rsid w:val="58B5550E"/>
    <w:rsid w:val="58BD5C76"/>
    <w:rsid w:val="58C11261"/>
    <w:rsid w:val="58C34E9B"/>
    <w:rsid w:val="58CB74D0"/>
    <w:rsid w:val="58D20175"/>
    <w:rsid w:val="58E233C9"/>
    <w:rsid w:val="591A393C"/>
    <w:rsid w:val="59303772"/>
    <w:rsid w:val="59340E0B"/>
    <w:rsid w:val="594B41E0"/>
    <w:rsid w:val="59854F0A"/>
    <w:rsid w:val="59975605"/>
    <w:rsid w:val="59AD7B0E"/>
    <w:rsid w:val="59CD28EC"/>
    <w:rsid w:val="59D55070"/>
    <w:rsid w:val="59D55FBA"/>
    <w:rsid w:val="59DA18AC"/>
    <w:rsid w:val="59E546A4"/>
    <w:rsid w:val="59FD6E5D"/>
    <w:rsid w:val="5A2F5AF5"/>
    <w:rsid w:val="5A4439EB"/>
    <w:rsid w:val="5A637B38"/>
    <w:rsid w:val="5A8C0168"/>
    <w:rsid w:val="5A8D1386"/>
    <w:rsid w:val="5A93303B"/>
    <w:rsid w:val="5ABB6C3C"/>
    <w:rsid w:val="5AC245CB"/>
    <w:rsid w:val="5ACD77B4"/>
    <w:rsid w:val="5AF81615"/>
    <w:rsid w:val="5AFF7905"/>
    <w:rsid w:val="5B1836AE"/>
    <w:rsid w:val="5B492C91"/>
    <w:rsid w:val="5B5D57A1"/>
    <w:rsid w:val="5B6B15AA"/>
    <w:rsid w:val="5B987BF7"/>
    <w:rsid w:val="5BAF6495"/>
    <w:rsid w:val="5BF25754"/>
    <w:rsid w:val="5C0E07A3"/>
    <w:rsid w:val="5C1271C4"/>
    <w:rsid w:val="5C1E13B0"/>
    <w:rsid w:val="5C1E7291"/>
    <w:rsid w:val="5C662A50"/>
    <w:rsid w:val="5C9D06C7"/>
    <w:rsid w:val="5CA61CCA"/>
    <w:rsid w:val="5CC73DD6"/>
    <w:rsid w:val="5CDC7430"/>
    <w:rsid w:val="5CEA2522"/>
    <w:rsid w:val="5CF2777D"/>
    <w:rsid w:val="5D0D01B7"/>
    <w:rsid w:val="5D2708E3"/>
    <w:rsid w:val="5D664D05"/>
    <w:rsid w:val="5D6E48CE"/>
    <w:rsid w:val="5D7C584C"/>
    <w:rsid w:val="5D7D3C0A"/>
    <w:rsid w:val="5D7F0635"/>
    <w:rsid w:val="5D894E7F"/>
    <w:rsid w:val="5D8D080D"/>
    <w:rsid w:val="5D935CE3"/>
    <w:rsid w:val="5DA402F0"/>
    <w:rsid w:val="5DBF6493"/>
    <w:rsid w:val="5DC05209"/>
    <w:rsid w:val="5DC12605"/>
    <w:rsid w:val="5E000CA6"/>
    <w:rsid w:val="5E3A6AA2"/>
    <w:rsid w:val="5E3D55BB"/>
    <w:rsid w:val="5E3E4C2D"/>
    <w:rsid w:val="5E5867E1"/>
    <w:rsid w:val="5E674F7E"/>
    <w:rsid w:val="5E874CE8"/>
    <w:rsid w:val="5E8D71DE"/>
    <w:rsid w:val="5E9D1B20"/>
    <w:rsid w:val="5EB00E5C"/>
    <w:rsid w:val="5ED35331"/>
    <w:rsid w:val="5EE37831"/>
    <w:rsid w:val="5EEB7859"/>
    <w:rsid w:val="5F0A3D5F"/>
    <w:rsid w:val="5F213F68"/>
    <w:rsid w:val="5F2F6349"/>
    <w:rsid w:val="5F583929"/>
    <w:rsid w:val="5F600D4E"/>
    <w:rsid w:val="5F883F49"/>
    <w:rsid w:val="5F8E3078"/>
    <w:rsid w:val="5F956DDF"/>
    <w:rsid w:val="5F991667"/>
    <w:rsid w:val="5FA416F1"/>
    <w:rsid w:val="5FD93954"/>
    <w:rsid w:val="5FDC55D3"/>
    <w:rsid w:val="5FE77994"/>
    <w:rsid w:val="5FF469EE"/>
    <w:rsid w:val="5FFB0094"/>
    <w:rsid w:val="60160416"/>
    <w:rsid w:val="60211CCF"/>
    <w:rsid w:val="60305CC7"/>
    <w:rsid w:val="604672E7"/>
    <w:rsid w:val="604A1238"/>
    <w:rsid w:val="606107A7"/>
    <w:rsid w:val="609D4E6C"/>
    <w:rsid w:val="60A62DBA"/>
    <w:rsid w:val="60C03CCF"/>
    <w:rsid w:val="60D42D03"/>
    <w:rsid w:val="60E62C9D"/>
    <w:rsid w:val="611B62E0"/>
    <w:rsid w:val="615E501E"/>
    <w:rsid w:val="6180773A"/>
    <w:rsid w:val="618B0BA0"/>
    <w:rsid w:val="61A06374"/>
    <w:rsid w:val="6221139D"/>
    <w:rsid w:val="622470A5"/>
    <w:rsid w:val="62247F4C"/>
    <w:rsid w:val="622540F5"/>
    <w:rsid w:val="622D2FAA"/>
    <w:rsid w:val="624375DB"/>
    <w:rsid w:val="625D25EA"/>
    <w:rsid w:val="62857C4E"/>
    <w:rsid w:val="6286607D"/>
    <w:rsid w:val="62A62781"/>
    <w:rsid w:val="62E05FC6"/>
    <w:rsid w:val="62E53885"/>
    <w:rsid w:val="62FD3864"/>
    <w:rsid w:val="63464F7D"/>
    <w:rsid w:val="634B0772"/>
    <w:rsid w:val="636E7A2E"/>
    <w:rsid w:val="63815A2A"/>
    <w:rsid w:val="63877E7E"/>
    <w:rsid w:val="63BF7E8E"/>
    <w:rsid w:val="63C01CBD"/>
    <w:rsid w:val="63EC3837"/>
    <w:rsid w:val="63FC4F9D"/>
    <w:rsid w:val="640A3035"/>
    <w:rsid w:val="643F3D04"/>
    <w:rsid w:val="644204E6"/>
    <w:rsid w:val="64635DFB"/>
    <w:rsid w:val="64683A23"/>
    <w:rsid w:val="64942E6C"/>
    <w:rsid w:val="64AF3910"/>
    <w:rsid w:val="64BC2C9E"/>
    <w:rsid w:val="64C626B7"/>
    <w:rsid w:val="64D57287"/>
    <w:rsid w:val="64E918AA"/>
    <w:rsid w:val="65252157"/>
    <w:rsid w:val="65683151"/>
    <w:rsid w:val="658066C4"/>
    <w:rsid w:val="65912A7B"/>
    <w:rsid w:val="65A90FD6"/>
    <w:rsid w:val="660428AE"/>
    <w:rsid w:val="660D1E09"/>
    <w:rsid w:val="660E4242"/>
    <w:rsid w:val="662519F4"/>
    <w:rsid w:val="66354951"/>
    <w:rsid w:val="666A2C09"/>
    <w:rsid w:val="6679092A"/>
    <w:rsid w:val="669315AD"/>
    <w:rsid w:val="66BA2385"/>
    <w:rsid w:val="66DB09CF"/>
    <w:rsid w:val="66E96680"/>
    <w:rsid w:val="66F422E8"/>
    <w:rsid w:val="67237A0F"/>
    <w:rsid w:val="67487CFE"/>
    <w:rsid w:val="67695728"/>
    <w:rsid w:val="677038E2"/>
    <w:rsid w:val="677777A9"/>
    <w:rsid w:val="67844587"/>
    <w:rsid w:val="67B43783"/>
    <w:rsid w:val="67B92A72"/>
    <w:rsid w:val="67C24235"/>
    <w:rsid w:val="67D547C2"/>
    <w:rsid w:val="67FA0E09"/>
    <w:rsid w:val="68075EA1"/>
    <w:rsid w:val="68233F9E"/>
    <w:rsid w:val="68277A88"/>
    <w:rsid w:val="686831F8"/>
    <w:rsid w:val="687E435B"/>
    <w:rsid w:val="689340A3"/>
    <w:rsid w:val="68A12E72"/>
    <w:rsid w:val="68D63EC7"/>
    <w:rsid w:val="68DC73EC"/>
    <w:rsid w:val="69054B5C"/>
    <w:rsid w:val="69293200"/>
    <w:rsid w:val="694347AF"/>
    <w:rsid w:val="694F06EB"/>
    <w:rsid w:val="6963607F"/>
    <w:rsid w:val="696403F8"/>
    <w:rsid w:val="69766916"/>
    <w:rsid w:val="698D63CB"/>
    <w:rsid w:val="698F77F4"/>
    <w:rsid w:val="69B23B9D"/>
    <w:rsid w:val="69B5510C"/>
    <w:rsid w:val="69E82867"/>
    <w:rsid w:val="6A086F70"/>
    <w:rsid w:val="6A2C3B47"/>
    <w:rsid w:val="6A540655"/>
    <w:rsid w:val="6A5B510D"/>
    <w:rsid w:val="6A5F2917"/>
    <w:rsid w:val="6A8D4C80"/>
    <w:rsid w:val="6AA159CB"/>
    <w:rsid w:val="6AA26939"/>
    <w:rsid w:val="6AB544E5"/>
    <w:rsid w:val="6ACB1DCC"/>
    <w:rsid w:val="6AD50437"/>
    <w:rsid w:val="6AE4041A"/>
    <w:rsid w:val="6AEE57CB"/>
    <w:rsid w:val="6B0358FC"/>
    <w:rsid w:val="6B057F21"/>
    <w:rsid w:val="6B0A1798"/>
    <w:rsid w:val="6B3030A0"/>
    <w:rsid w:val="6B3E2D98"/>
    <w:rsid w:val="6B41454A"/>
    <w:rsid w:val="6B417EB3"/>
    <w:rsid w:val="6B5F34DB"/>
    <w:rsid w:val="6B707214"/>
    <w:rsid w:val="6B8071B3"/>
    <w:rsid w:val="6B8C7291"/>
    <w:rsid w:val="6B9C69D2"/>
    <w:rsid w:val="6BB104FC"/>
    <w:rsid w:val="6BC75657"/>
    <w:rsid w:val="6BD126F0"/>
    <w:rsid w:val="6BE1773A"/>
    <w:rsid w:val="6BE35659"/>
    <w:rsid w:val="6C2B66F7"/>
    <w:rsid w:val="6C5437FF"/>
    <w:rsid w:val="6C56491E"/>
    <w:rsid w:val="6C5B64F3"/>
    <w:rsid w:val="6C872F0E"/>
    <w:rsid w:val="6CB84F3A"/>
    <w:rsid w:val="6D05726A"/>
    <w:rsid w:val="6D340FE2"/>
    <w:rsid w:val="6D5172EC"/>
    <w:rsid w:val="6D673555"/>
    <w:rsid w:val="6D717C1E"/>
    <w:rsid w:val="6D91263F"/>
    <w:rsid w:val="6D92611A"/>
    <w:rsid w:val="6D981B81"/>
    <w:rsid w:val="6D994274"/>
    <w:rsid w:val="6DA0764D"/>
    <w:rsid w:val="6DA9204B"/>
    <w:rsid w:val="6DB90857"/>
    <w:rsid w:val="6DC267F1"/>
    <w:rsid w:val="6E032FC6"/>
    <w:rsid w:val="6E083615"/>
    <w:rsid w:val="6E0D26B4"/>
    <w:rsid w:val="6E146DCC"/>
    <w:rsid w:val="6E360FB8"/>
    <w:rsid w:val="6E44084F"/>
    <w:rsid w:val="6E4F3DA5"/>
    <w:rsid w:val="6E5D06EF"/>
    <w:rsid w:val="6E6F0BB4"/>
    <w:rsid w:val="6E6F1D57"/>
    <w:rsid w:val="6E7A62E4"/>
    <w:rsid w:val="6E9D2927"/>
    <w:rsid w:val="6EB25B0B"/>
    <w:rsid w:val="6EB80BA0"/>
    <w:rsid w:val="6ED37D90"/>
    <w:rsid w:val="6EE964AB"/>
    <w:rsid w:val="6EEE36C0"/>
    <w:rsid w:val="6F00046B"/>
    <w:rsid w:val="6F065AB6"/>
    <w:rsid w:val="6F3364F9"/>
    <w:rsid w:val="6F441647"/>
    <w:rsid w:val="6F4D0F66"/>
    <w:rsid w:val="6F505503"/>
    <w:rsid w:val="6F57424B"/>
    <w:rsid w:val="6F612830"/>
    <w:rsid w:val="6F9E5543"/>
    <w:rsid w:val="6FD10B10"/>
    <w:rsid w:val="6FE61F22"/>
    <w:rsid w:val="6FFD00DA"/>
    <w:rsid w:val="70352925"/>
    <w:rsid w:val="70505871"/>
    <w:rsid w:val="7059136B"/>
    <w:rsid w:val="7067165B"/>
    <w:rsid w:val="706B4405"/>
    <w:rsid w:val="70801B07"/>
    <w:rsid w:val="70837266"/>
    <w:rsid w:val="709A7A5C"/>
    <w:rsid w:val="70A1406F"/>
    <w:rsid w:val="70B0465E"/>
    <w:rsid w:val="70FE623D"/>
    <w:rsid w:val="71233682"/>
    <w:rsid w:val="71492A71"/>
    <w:rsid w:val="715251C2"/>
    <w:rsid w:val="715B3C2A"/>
    <w:rsid w:val="717A163C"/>
    <w:rsid w:val="71803C89"/>
    <w:rsid w:val="71994E64"/>
    <w:rsid w:val="71CA7676"/>
    <w:rsid w:val="71E05943"/>
    <w:rsid w:val="71EA7695"/>
    <w:rsid w:val="71EE7FB9"/>
    <w:rsid w:val="72536FDC"/>
    <w:rsid w:val="726D181E"/>
    <w:rsid w:val="727D75DF"/>
    <w:rsid w:val="72A63925"/>
    <w:rsid w:val="72BB74DD"/>
    <w:rsid w:val="72CC013F"/>
    <w:rsid w:val="72D36E77"/>
    <w:rsid w:val="72DD2BAD"/>
    <w:rsid w:val="72FB66FD"/>
    <w:rsid w:val="73020D5E"/>
    <w:rsid w:val="732872C5"/>
    <w:rsid w:val="733A0808"/>
    <w:rsid w:val="7360086A"/>
    <w:rsid w:val="739A0DC0"/>
    <w:rsid w:val="73B920B2"/>
    <w:rsid w:val="74085669"/>
    <w:rsid w:val="740A4EF9"/>
    <w:rsid w:val="74412921"/>
    <w:rsid w:val="74594423"/>
    <w:rsid w:val="7475710D"/>
    <w:rsid w:val="747621BD"/>
    <w:rsid w:val="74E60A71"/>
    <w:rsid w:val="74F17E67"/>
    <w:rsid w:val="750337C6"/>
    <w:rsid w:val="75086A21"/>
    <w:rsid w:val="750B356A"/>
    <w:rsid w:val="750C4DDC"/>
    <w:rsid w:val="7510569F"/>
    <w:rsid w:val="756950CA"/>
    <w:rsid w:val="75922EAF"/>
    <w:rsid w:val="75AD28A1"/>
    <w:rsid w:val="75C224B9"/>
    <w:rsid w:val="76013E56"/>
    <w:rsid w:val="760A7D9D"/>
    <w:rsid w:val="76233B7C"/>
    <w:rsid w:val="76335855"/>
    <w:rsid w:val="763E51CC"/>
    <w:rsid w:val="76465F91"/>
    <w:rsid w:val="766026E6"/>
    <w:rsid w:val="76B770A6"/>
    <w:rsid w:val="76CE7275"/>
    <w:rsid w:val="76E4362B"/>
    <w:rsid w:val="770A1659"/>
    <w:rsid w:val="7711659E"/>
    <w:rsid w:val="7712242B"/>
    <w:rsid w:val="771F60E4"/>
    <w:rsid w:val="77231D40"/>
    <w:rsid w:val="773A7A8E"/>
    <w:rsid w:val="77466345"/>
    <w:rsid w:val="77471485"/>
    <w:rsid w:val="77825F67"/>
    <w:rsid w:val="77951211"/>
    <w:rsid w:val="77B91A42"/>
    <w:rsid w:val="77C5780E"/>
    <w:rsid w:val="77E26D03"/>
    <w:rsid w:val="77FE04E7"/>
    <w:rsid w:val="782F327E"/>
    <w:rsid w:val="78397A32"/>
    <w:rsid w:val="78A06277"/>
    <w:rsid w:val="78C64F8E"/>
    <w:rsid w:val="79105016"/>
    <w:rsid w:val="791A1EB8"/>
    <w:rsid w:val="791E4FA3"/>
    <w:rsid w:val="797167CA"/>
    <w:rsid w:val="798E4E1E"/>
    <w:rsid w:val="799E2AB3"/>
    <w:rsid w:val="79A37A59"/>
    <w:rsid w:val="79C61A14"/>
    <w:rsid w:val="79C85435"/>
    <w:rsid w:val="79D16AD3"/>
    <w:rsid w:val="79EE5B89"/>
    <w:rsid w:val="79F05A1B"/>
    <w:rsid w:val="7A020CA3"/>
    <w:rsid w:val="7A067805"/>
    <w:rsid w:val="7A3666CE"/>
    <w:rsid w:val="7A376AEF"/>
    <w:rsid w:val="7A3E570B"/>
    <w:rsid w:val="7A4B2A2F"/>
    <w:rsid w:val="7A627545"/>
    <w:rsid w:val="7A811C50"/>
    <w:rsid w:val="7AA408FA"/>
    <w:rsid w:val="7B123707"/>
    <w:rsid w:val="7B236D19"/>
    <w:rsid w:val="7B307625"/>
    <w:rsid w:val="7B347CEC"/>
    <w:rsid w:val="7B576B4E"/>
    <w:rsid w:val="7B761608"/>
    <w:rsid w:val="7B87133C"/>
    <w:rsid w:val="7B9234A2"/>
    <w:rsid w:val="7BCA404B"/>
    <w:rsid w:val="7C105077"/>
    <w:rsid w:val="7C240B22"/>
    <w:rsid w:val="7C3810A9"/>
    <w:rsid w:val="7C416F95"/>
    <w:rsid w:val="7C4E5B9F"/>
    <w:rsid w:val="7C580760"/>
    <w:rsid w:val="7C8B3404"/>
    <w:rsid w:val="7C8D6ADA"/>
    <w:rsid w:val="7C9C47E0"/>
    <w:rsid w:val="7C9E070C"/>
    <w:rsid w:val="7CAC5CE3"/>
    <w:rsid w:val="7CAE22D0"/>
    <w:rsid w:val="7CBB152F"/>
    <w:rsid w:val="7D2C343C"/>
    <w:rsid w:val="7D4C3183"/>
    <w:rsid w:val="7D5D12E3"/>
    <w:rsid w:val="7D5F378A"/>
    <w:rsid w:val="7D9314F6"/>
    <w:rsid w:val="7D9B2963"/>
    <w:rsid w:val="7D9C06C0"/>
    <w:rsid w:val="7DBE5AB2"/>
    <w:rsid w:val="7DDB441F"/>
    <w:rsid w:val="7E4B1AB3"/>
    <w:rsid w:val="7E58216F"/>
    <w:rsid w:val="7E58478A"/>
    <w:rsid w:val="7E70415D"/>
    <w:rsid w:val="7E7F1745"/>
    <w:rsid w:val="7E886BD8"/>
    <w:rsid w:val="7E922F1E"/>
    <w:rsid w:val="7E9C1A45"/>
    <w:rsid w:val="7EEF7176"/>
    <w:rsid w:val="7F044E27"/>
    <w:rsid w:val="7F5D7752"/>
    <w:rsid w:val="7F7A668F"/>
    <w:rsid w:val="7F7C1BAA"/>
    <w:rsid w:val="7F91228D"/>
    <w:rsid w:val="7F980D98"/>
    <w:rsid w:val="7FA669B9"/>
    <w:rsid w:val="7FBA4CF9"/>
    <w:rsid w:val="7FDB65A4"/>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numPr>
        <w:ilvl w:val="0"/>
        <w:numId w:val="1"/>
      </w:numPr>
      <w:spacing w:before="240" w:after="60"/>
      <w:outlineLvl w:val="0"/>
    </w:pPr>
    <w:rPr>
      <w:rFonts w:ascii="Arial" w:hAnsi="Arial"/>
      <w:b/>
      <w:bCs/>
      <w:kern w:val="32"/>
      <w:sz w:val="32"/>
      <w:szCs w:val="32"/>
    </w:rPr>
  </w:style>
  <w:style w:type="paragraph" w:styleId="3">
    <w:name w:val="heading 2"/>
    <w:basedOn w:val="2"/>
    <w:next w:val="1"/>
    <w:autoRedefine/>
    <w:qFormat/>
    <w:uiPriority w:val="9"/>
    <w:pPr>
      <w:numPr>
        <w:ilvl w:val="1"/>
        <w:numId w:val="2"/>
      </w:numPr>
      <w:spacing w:before="180"/>
      <w:outlineLvl w:val="1"/>
    </w:pPr>
    <w:rPr>
      <w:rFonts w:cs="Times New Roman"/>
    </w:rPr>
  </w:style>
  <w:style w:type="paragraph" w:styleId="4">
    <w:name w:val="heading 3"/>
    <w:basedOn w:val="3"/>
    <w:next w:val="1"/>
    <w:autoRedefine/>
    <w:qFormat/>
    <w:uiPriority w:val="0"/>
    <w:pPr>
      <w:keepNext/>
      <w:numPr>
        <w:ilvl w:val="2"/>
        <w:numId w:val="1"/>
      </w:numPr>
      <w:tabs>
        <w:tab w:val="clear" w:pos="432"/>
        <w:tab w:val="clear" w:pos="1002"/>
      </w:tabs>
      <w:spacing w:before="240"/>
      <w:ind w:right="100" w:rightChars="100"/>
      <w:outlineLvl w:val="2"/>
    </w:pPr>
    <w:rPr>
      <w:szCs w:val="26"/>
    </w:rPr>
  </w:style>
  <w:style w:type="paragraph" w:styleId="5">
    <w:name w:val="heading 4"/>
    <w:basedOn w:val="4"/>
    <w:next w:val="1"/>
    <w:link w:val="30"/>
    <w:autoRedefine/>
    <w:qFormat/>
    <w:uiPriority w:val="9"/>
    <w:pPr>
      <w:numPr>
        <w:ilvl w:val="3"/>
      </w:numPr>
      <w:outlineLvl w:val="3"/>
    </w:pPr>
    <w:rPr>
      <w:i/>
    </w:rPr>
  </w:style>
  <w:style w:type="paragraph" w:styleId="6">
    <w:name w:val="heading 5"/>
    <w:basedOn w:val="5"/>
    <w:next w:val="1"/>
    <w:autoRedefine/>
    <w:qFormat/>
    <w:uiPriority w:val="0"/>
    <w:pPr>
      <w:tabs>
        <w:tab w:val="left" w:pos="432"/>
        <w:tab w:val="left" w:pos="1002"/>
      </w:tabs>
      <w:ind w:left="1701" w:hanging="1701"/>
      <w:outlineLvl w:val="4"/>
    </w:pPr>
    <w:rPr>
      <w:sz w:val="22"/>
    </w:rPr>
  </w:style>
  <w:style w:type="character" w:default="1" w:styleId="17">
    <w:name w:val="Default Paragraph Font"/>
    <w:autoRedefine/>
    <w:semiHidden/>
    <w:unhideWhenUsed/>
    <w:qFormat/>
    <w:uiPriority w:val="1"/>
  </w:style>
  <w:style w:type="table" w:default="1" w:styleId="15">
    <w:name w:val="Normal Table"/>
    <w:autoRedefine/>
    <w:semiHidden/>
    <w:unhideWhenUsed/>
    <w:qFormat/>
    <w:uiPriority w:val="99"/>
    <w:tblPr>
      <w:tblCellMar>
        <w:top w:w="0" w:type="dxa"/>
        <w:left w:w="108" w:type="dxa"/>
        <w:bottom w:w="0" w:type="dxa"/>
        <w:right w:w="108" w:type="dxa"/>
      </w:tblCellMar>
    </w:tblPr>
  </w:style>
  <w:style w:type="paragraph" w:styleId="7">
    <w:name w:val="caption"/>
    <w:basedOn w:val="1"/>
    <w:next w:val="1"/>
    <w:autoRedefine/>
    <w:unhideWhenUsed/>
    <w:qFormat/>
    <w:uiPriority w:val="35"/>
    <w:rPr>
      <w:b/>
      <w:bCs/>
    </w:rPr>
  </w:style>
  <w:style w:type="paragraph" w:styleId="8">
    <w:name w:val="annotation text"/>
    <w:basedOn w:val="1"/>
    <w:link w:val="28"/>
    <w:autoRedefine/>
    <w:qFormat/>
    <w:uiPriority w:val="99"/>
    <w:pPr>
      <w:jc w:val="left"/>
    </w:pPr>
  </w:style>
  <w:style w:type="paragraph" w:styleId="9">
    <w:name w:val="Body Text"/>
    <w:basedOn w:val="1"/>
    <w:autoRedefine/>
    <w:qFormat/>
    <w:uiPriority w:val="0"/>
    <w:pPr>
      <w:spacing w:after="120"/>
    </w:pPr>
  </w:style>
  <w:style w:type="paragraph" w:styleId="10">
    <w:name w:val="footer"/>
    <w:basedOn w:val="1"/>
    <w:link w:val="21"/>
    <w:autoRedefine/>
    <w:unhideWhenUsed/>
    <w:qFormat/>
    <w:uiPriority w:val="99"/>
    <w:pPr>
      <w:tabs>
        <w:tab w:val="center" w:pos="4153"/>
        <w:tab w:val="right" w:pos="8306"/>
      </w:tabs>
      <w:snapToGrid w:val="0"/>
      <w:jc w:val="left"/>
    </w:pPr>
    <w:rPr>
      <w:sz w:val="18"/>
      <w:szCs w:val="18"/>
    </w:rPr>
  </w:style>
  <w:style w:type="paragraph" w:styleId="11">
    <w:name w:val="header"/>
    <w:basedOn w:val="1"/>
    <w:link w:val="2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autoRedefine/>
    <w:qFormat/>
    <w:uiPriority w:val="0"/>
    <w:pPr>
      <w:ind w:left="568" w:hanging="284"/>
    </w:pPr>
  </w:style>
  <w:style w:type="paragraph" w:styleId="13">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paragraph" w:styleId="14">
    <w:name w:val="annotation subject"/>
    <w:basedOn w:val="8"/>
    <w:next w:val="8"/>
    <w:link w:val="29"/>
    <w:autoRedefine/>
    <w:semiHidden/>
    <w:unhideWhenUsed/>
    <w:qFormat/>
    <w:uiPriority w:val="99"/>
    <w:rPr>
      <w:b/>
      <w:bCs/>
    </w:rPr>
  </w:style>
  <w:style w:type="table" w:styleId="16">
    <w:name w:val="Table Grid"/>
    <w:basedOn w:val="15"/>
    <w:autoRedefine/>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autoRedefine/>
    <w:qFormat/>
    <w:uiPriority w:val="99"/>
    <w:rPr>
      <w:color w:val="0000FF"/>
      <w:u w:val="single"/>
    </w:rPr>
  </w:style>
  <w:style w:type="character" w:styleId="19">
    <w:name w:val="annotation reference"/>
    <w:basedOn w:val="17"/>
    <w:autoRedefine/>
    <w:qFormat/>
    <w:uiPriority w:val="0"/>
    <w:rPr>
      <w:sz w:val="21"/>
      <w:szCs w:val="21"/>
    </w:rPr>
  </w:style>
  <w:style w:type="character" w:customStyle="1" w:styleId="20">
    <w:name w:val="页眉 字符"/>
    <w:basedOn w:val="17"/>
    <w:link w:val="11"/>
    <w:autoRedefine/>
    <w:qFormat/>
    <w:uiPriority w:val="99"/>
    <w:rPr>
      <w:sz w:val="18"/>
      <w:szCs w:val="18"/>
    </w:rPr>
  </w:style>
  <w:style w:type="character" w:customStyle="1" w:styleId="21">
    <w:name w:val="页脚 字符"/>
    <w:basedOn w:val="17"/>
    <w:link w:val="10"/>
    <w:autoRedefine/>
    <w:qFormat/>
    <w:uiPriority w:val="99"/>
    <w:rPr>
      <w:sz w:val="18"/>
      <w:szCs w:val="18"/>
    </w:rPr>
  </w:style>
  <w:style w:type="paragraph" w:customStyle="1" w:styleId="22">
    <w:name w:val="TH"/>
    <w:basedOn w:val="1"/>
    <w:autoRedefine/>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3">
    <w:name w:val="TF"/>
    <w:basedOn w:val="22"/>
    <w:autoRedefine/>
    <w:qFormat/>
    <w:uiPriority w:val="0"/>
    <w:pPr>
      <w:keepNext w:val="0"/>
      <w:spacing w:before="0" w:after="240"/>
    </w:pPr>
  </w:style>
  <w:style w:type="paragraph" w:styleId="24">
    <w:name w:val="List Paragraph"/>
    <w:basedOn w:val="1"/>
    <w:autoRedefine/>
    <w:qFormat/>
    <w:uiPriority w:val="34"/>
    <w:pPr>
      <w:ind w:firstLine="420" w:firstLineChars="200"/>
    </w:pPr>
  </w:style>
  <w:style w:type="paragraph" w:customStyle="1" w:styleId="25">
    <w:name w:val="B1"/>
    <w:basedOn w:val="12"/>
    <w:autoRedefine/>
    <w:qFormat/>
    <w:uiPriority w:val="0"/>
  </w:style>
  <w:style w:type="paragraph" w:customStyle="1" w:styleId="26">
    <w:name w:val="Doc-text2"/>
    <w:basedOn w:val="1"/>
    <w:autoRedefine/>
    <w:qFormat/>
    <w:uiPriority w:val="0"/>
    <w:pPr>
      <w:tabs>
        <w:tab w:val="left" w:pos="1622"/>
      </w:tabs>
      <w:ind w:left="1622" w:hanging="363"/>
      <w:jc w:val="left"/>
    </w:pPr>
    <w:rPr>
      <w:rFonts w:eastAsia="MS Mincho"/>
      <w:szCs w:val="24"/>
    </w:rPr>
  </w:style>
  <w:style w:type="paragraph" w:customStyle="1" w:styleId="27">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8">
    <w:name w:val="批注文字 字符"/>
    <w:basedOn w:val="17"/>
    <w:link w:val="8"/>
    <w:autoRedefine/>
    <w:qFormat/>
    <w:uiPriority w:val="99"/>
    <w:rPr>
      <w:kern w:val="2"/>
      <w:sz w:val="21"/>
      <w:szCs w:val="22"/>
    </w:rPr>
  </w:style>
  <w:style w:type="character" w:customStyle="1" w:styleId="29">
    <w:name w:val="批注主题 字符"/>
    <w:basedOn w:val="28"/>
    <w:link w:val="14"/>
    <w:autoRedefine/>
    <w:semiHidden/>
    <w:qFormat/>
    <w:uiPriority w:val="99"/>
    <w:rPr>
      <w:b/>
      <w:bCs/>
      <w:kern w:val="2"/>
      <w:sz w:val="21"/>
      <w:szCs w:val="22"/>
    </w:rPr>
  </w:style>
  <w:style w:type="character" w:customStyle="1" w:styleId="30">
    <w:name w:val="标题 4 字符"/>
    <w:link w:val="5"/>
    <w:autoRedefine/>
    <w:qFormat/>
    <w:uiPriority w:val="9"/>
    <w:rPr>
      <w:i/>
    </w:rPr>
  </w:style>
  <w:style w:type="paragraph" w:customStyle="1" w:styleId="31">
    <w:name w:val="Style Heading 1H1h1app heading 1l1Memo Heading 1h11h12h13h..."/>
    <w:basedOn w:val="2"/>
    <w:autoRedefine/>
    <w:qFormat/>
    <w:uiPriority w:val="99"/>
    <w:pPr>
      <w:numPr>
        <w:numId w:val="3"/>
      </w:numPr>
    </w:pPr>
    <w:rPr>
      <w:rFonts w:ascii="Helvetica" w:hAnsi="Helvetica" w:eastAsia="Times New Roman"/>
      <w:sz w:val="28"/>
      <w:szCs w:val="20"/>
    </w:rPr>
  </w:style>
  <w:style w:type="paragraph" w:customStyle="1" w:styleId="32">
    <w:name w:val="Comments"/>
    <w:basedOn w:val="1"/>
    <w:autoRedefine/>
    <w:qFormat/>
    <w:uiPriority w:val="0"/>
    <w:rPr>
      <w:i/>
      <w:sz w:val="18"/>
    </w:rPr>
  </w:style>
  <w:style w:type="paragraph" w:customStyle="1" w:styleId="33">
    <w:name w:val="Agreement"/>
    <w:basedOn w:val="1"/>
    <w:next w:val="26"/>
    <w:autoRedefine/>
    <w:qFormat/>
    <w:uiPriority w:val="0"/>
    <w:pPr>
      <w:numPr>
        <w:ilvl w:val="0"/>
        <w:numId w:val="4"/>
      </w:numPr>
      <w:tabs>
        <w:tab w:val="left" w:pos="1619"/>
        <w:tab w:val="clear" w:pos="1352"/>
      </w:tabs>
      <w:spacing w:before="60"/>
      <w:ind w:left="1619"/>
    </w:pPr>
    <w:rPr>
      <w:b/>
    </w:rPr>
  </w:style>
  <w:style w:type="character" w:customStyle="1" w:styleId="34">
    <w:name w:val="ui-provider"/>
    <w:basedOn w:val="17"/>
    <w:autoRedefine/>
    <w:qFormat/>
    <w:uiPriority w:val="0"/>
  </w:style>
  <w:style w:type="paragraph" w:customStyle="1" w:styleId="35">
    <w:name w:val="pf0"/>
    <w:basedOn w:val="1"/>
    <w:autoRedefine/>
    <w:qFormat/>
    <w:uiPriority w:val="0"/>
    <w:pPr>
      <w:spacing w:before="100" w:beforeAutospacing="1" w:after="100" w:afterAutospacing="1"/>
    </w:pPr>
    <w:rPr>
      <w:sz w:val="24"/>
      <w:szCs w:val="24"/>
      <w:lang w:eastAsia="ko-KR"/>
    </w:rPr>
  </w:style>
  <w:style w:type="paragraph" w:customStyle="1" w:styleId="36">
    <w:name w:val="B2"/>
    <w:basedOn w:val="1"/>
    <w:autoRedefine/>
    <w:qFormat/>
    <w:uiPriority w:val="0"/>
    <w:pPr>
      <w:ind w:left="851" w:hanging="284"/>
    </w:pPr>
  </w:style>
  <w:style w:type="paragraph" w:customStyle="1" w:styleId="37">
    <w:name w:val="Revision"/>
    <w:autoRedefine/>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38">
    <w:name w:val="NO"/>
    <w:basedOn w:val="1"/>
    <w:autoRedefine/>
    <w:qFormat/>
    <w:uiPriority w:val="0"/>
    <w:pPr>
      <w:keepLines/>
      <w:ind w:left="1135" w:hanging="851"/>
    </w:pPr>
  </w:style>
  <w:style w:type="paragraph" w:customStyle="1" w:styleId="39">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40">
    <w:name w:val="TAL"/>
    <w:basedOn w:val="1"/>
    <w:qFormat/>
    <w:uiPriority w:val="0"/>
    <w:pPr>
      <w:keepNext/>
      <w:keepLines/>
      <w:spacing w:after="0"/>
    </w:pPr>
    <w:rPr>
      <w:rFonts w:ascii="Arial" w:hAnsi="Arial"/>
      <w:sz w:val="18"/>
    </w:rPr>
  </w:style>
  <w:style w:type="paragraph" w:customStyle="1" w:styleId="41">
    <w:name w:val="TAH"/>
    <w:basedOn w:val="42"/>
    <w:qFormat/>
    <w:uiPriority w:val="0"/>
    <w:rPr>
      <w:b/>
    </w:rPr>
  </w:style>
  <w:style w:type="paragraph" w:customStyle="1" w:styleId="42">
    <w:name w:val="TAC"/>
    <w:basedOn w:val="40"/>
    <w:qFormat/>
    <w:uiPriority w:val="0"/>
    <w:pPr>
      <w:jc w:val="center"/>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2299</Words>
  <Characters>12338</Characters>
  <Lines>49</Lines>
  <Paragraphs>13</Paragraphs>
  <TotalTime>13</TotalTime>
  <ScaleCrop>false</ScaleCrop>
  <LinksUpToDate>false</LinksUpToDate>
  <CharactersWithSpaces>14578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2022-09-29T14:09:00Z</dcterms:created>
  <dc:creator>CMCC_TJY</dc:creator>
  <cp:lastModifiedBy>CMCC</cp:lastModifiedBy>
  <dcterms:modified xsi:type="dcterms:W3CDTF">2024-09-30T06:18:01Z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4F83209FC437441CA6E00C725FD4E3ED_13</vt:lpwstr>
  </property>
</Properties>
</file>